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B3" w:rsidRDefault="00E77CB3" w:rsidP="00E77CB3">
      <w:pPr>
        <w:jc w:val="center"/>
        <w:rPr>
          <w:lang w:val="fr-FR"/>
        </w:rPr>
      </w:pPr>
      <w:bookmarkStart w:id="0" w:name="_GoBack"/>
      <w:bookmarkEnd w:id="0"/>
    </w:p>
    <w:p w:rsidR="00603708" w:rsidRDefault="00603708" w:rsidP="00E77CB3">
      <w:pPr>
        <w:jc w:val="center"/>
        <w:rPr>
          <w:lang w:val="fr-FR"/>
        </w:rPr>
      </w:pPr>
    </w:p>
    <w:p w:rsidR="00A62736" w:rsidRPr="00C611D8" w:rsidRDefault="00A62736" w:rsidP="00E77CB3">
      <w:pPr>
        <w:jc w:val="center"/>
        <w:rPr>
          <w:lang w:val="fr-FR"/>
        </w:rPr>
      </w:pPr>
    </w:p>
    <w:p w:rsidR="00E77CB3" w:rsidRPr="00C611D8" w:rsidRDefault="000B5793" w:rsidP="00E77CB3">
      <w:pPr>
        <w:jc w:val="center"/>
        <w:rPr>
          <w:lang w:val="fr-FR"/>
        </w:rPr>
      </w:pPr>
      <w:r>
        <w:rPr>
          <w:lang w:val="fr-FR"/>
        </w:rPr>
        <w:t>QUATRI</w:t>
      </w:r>
      <w:r w:rsidR="00101D48">
        <w:rPr>
          <w:rFonts w:cstheme="minorHAnsi"/>
          <w:lang w:val="fr-FR"/>
        </w:rPr>
        <w:t>È</w:t>
      </w:r>
      <w:r w:rsidR="001C4340">
        <w:rPr>
          <w:lang w:val="fr-FR"/>
        </w:rPr>
        <w:t>ME SECTION</w:t>
      </w:r>
    </w:p>
    <w:p w:rsidR="00E77CB3" w:rsidRDefault="00E77CB3" w:rsidP="00E77CB3">
      <w:pPr>
        <w:jc w:val="center"/>
        <w:rPr>
          <w:lang w:val="fr-FR"/>
        </w:rPr>
      </w:pPr>
    </w:p>
    <w:p w:rsidR="00A62736" w:rsidRDefault="00A62736" w:rsidP="00E77CB3">
      <w:pPr>
        <w:jc w:val="center"/>
        <w:rPr>
          <w:lang w:val="fr-FR"/>
        </w:rPr>
      </w:pPr>
    </w:p>
    <w:p w:rsidR="00A62736" w:rsidRDefault="00A62736" w:rsidP="00E77CB3">
      <w:pPr>
        <w:jc w:val="center"/>
        <w:rPr>
          <w:lang w:val="fr-FR"/>
        </w:rPr>
      </w:pPr>
    </w:p>
    <w:p w:rsidR="00A62736" w:rsidRDefault="00A62736" w:rsidP="00E77CB3">
      <w:pPr>
        <w:jc w:val="center"/>
        <w:rPr>
          <w:lang w:val="fr-FR"/>
        </w:rPr>
      </w:pPr>
    </w:p>
    <w:p w:rsidR="00603708" w:rsidRDefault="00603708" w:rsidP="00E77CB3">
      <w:pPr>
        <w:jc w:val="center"/>
        <w:rPr>
          <w:lang w:val="fr-FR"/>
        </w:rPr>
      </w:pPr>
    </w:p>
    <w:p w:rsidR="00A62736" w:rsidRDefault="00A62736" w:rsidP="00E77CB3">
      <w:pPr>
        <w:jc w:val="center"/>
        <w:rPr>
          <w:lang w:val="fr-FR"/>
        </w:rPr>
      </w:pPr>
    </w:p>
    <w:p w:rsidR="00A62736" w:rsidRPr="00C611D8" w:rsidRDefault="00A62736" w:rsidP="00E77CB3">
      <w:pPr>
        <w:jc w:val="center"/>
        <w:rPr>
          <w:lang w:val="fr-FR"/>
        </w:rPr>
      </w:pPr>
    </w:p>
    <w:p w:rsidR="00E77CB3" w:rsidRPr="00C611D8" w:rsidRDefault="00E77CB3" w:rsidP="00E77CB3">
      <w:pPr>
        <w:jc w:val="center"/>
        <w:rPr>
          <w:b/>
          <w:lang w:val="fr-FR"/>
        </w:rPr>
      </w:pPr>
      <w:bookmarkStart w:id="1" w:name="To"/>
      <w:r w:rsidRPr="00C611D8">
        <w:rPr>
          <w:b/>
          <w:lang w:val="fr-FR"/>
        </w:rPr>
        <w:t xml:space="preserve">AFFAIRE </w:t>
      </w:r>
      <w:bookmarkEnd w:id="1"/>
      <w:r w:rsidR="001C4340">
        <w:rPr>
          <w:b/>
          <w:lang w:val="fr-FR"/>
        </w:rPr>
        <w:t>CESTARO c. ITALIE</w:t>
      </w:r>
    </w:p>
    <w:p w:rsidR="00E77CB3" w:rsidRPr="00C611D8" w:rsidRDefault="00E77CB3" w:rsidP="00E77CB3">
      <w:pPr>
        <w:jc w:val="center"/>
        <w:rPr>
          <w:lang w:val="fr-FR"/>
        </w:rPr>
      </w:pPr>
    </w:p>
    <w:p w:rsidR="00A62736" w:rsidRDefault="00E77CB3" w:rsidP="00A62736">
      <w:pPr>
        <w:jc w:val="center"/>
        <w:rPr>
          <w:lang w:val="fr-FR"/>
        </w:rPr>
      </w:pPr>
      <w:r w:rsidRPr="00C611D8">
        <w:rPr>
          <w:i/>
          <w:lang w:val="fr-FR"/>
        </w:rPr>
        <w:t>(</w:t>
      </w:r>
      <w:r w:rsidR="001C4340" w:rsidRPr="00C611D8">
        <w:rPr>
          <w:i/>
          <w:lang w:val="fr-FR"/>
        </w:rPr>
        <w:t>Requête n</w:t>
      </w:r>
      <w:r w:rsidR="001C4340" w:rsidRPr="00C611D8">
        <w:rPr>
          <w:i/>
          <w:vertAlign w:val="superscript"/>
          <w:lang w:val="fr-FR"/>
        </w:rPr>
        <w:t>o</w:t>
      </w:r>
      <w:r w:rsidR="001C4340" w:rsidRPr="00C611D8">
        <w:rPr>
          <w:i/>
          <w:lang w:val="fr-FR"/>
        </w:rPr>
        <w:t xml:space="preserve"> </w:t>
      </w:r>
      <w:r w:rsidR="001C4340">
        <w:rPr>
          <w:i/>
          <w:lang w:val="fr-FR"/>
        </w:rPr>
        <w:t>6884/11</w:t>
      </w:r>
      <w:r w:rsidRPr="00C611D8">
        <w:rPr>
          <w:i/>
          <w:lang w:val="fr-FR"/>
        </w:rPr>
        <w:t>)</w:t>
      </w: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Pr="00A62736" w:rsidRDefault="00A62736" w:rsidP="00A62736">
      <w:pPr>
        <w:jc w:val="center"/>
        <w:rPr>
          <w:lang w:val="fr-FR"/>
        </w:rPr>
      </w:pPr>
      <w:r>
        <w:rPr>
          <w:lang w:val="fr-FR"/>
        </w:rPr>
        <w:t>ARRÊT</w:t>
      </w: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p>
    <w:p w:rsidR="00A62736" w:rsidRDefault="00A62736" w:rsidP="00A62736">
      <w:pPr>
        <w:jc w:val="center"/>
        <w:rPr>
          <w:lang w:val="fr-FR"/>
        </w:rPr>
      </w:pPr>
      <w:r>
        <w:rPr>
          <w:lang w:val="fr-FR"/>
        </w:rPr>
        <w:t>STRASBOURG</w:t>
      </w:r>
    </w:p>
    <w:p w:rsidR="00A62736" w:rsidRDefault="00A62736" w:rsidP="00A62736">
      <w:pPr>
        <w:jc w:val="center"/>
        <w:rPr>
          <w:lang w:val="fr-FR"/>
        </w:rPr>
      </w:pPr>
    </w:p>
    <w:p w:rsidR="00A62736" w:rsidRDefault="00587C2D" w:rsidP="00A62736">
      <w:pPr>
        <w:jc w:val="center"/>
        <w:rPr>
          <w:lang w:val="fr-FR"/>
        </w:rPr>
      </w:pPr>
      <w:r>
        <w:rPr>
          <w:lang w:val="fr-FR"/>
        </w:rPr>
        <w:t>7 avril 2015</w:t>
      </w:r>
    </w:p>
    <w:p w:rsidR="00A62736" w:rsidRDefault="00A62736" w:rsidP="00A62736">
      <w:pPr>
        <w:jc w:val="center"/>
        <w:rPr>
          <w:lang w:val="fr-FR"/>
        </w:rPr>
      </w:pPr>
    </w:p>
    <w:p w:rsidR="00A62736" w:rsidRDefault="00A62736" w:rsidP="00A62736">
      <w:pPr>
        <w:jc w:val="center"/>
        <w:rPr>
          <w:lang w:val="fr-FR"/>
        </w:rPr>
      </w:pPr>
    </w:p>
    <w:p w:rsidR="00603708" w:rsidRDefault="00603708" w:rsidP="00A62736">
      <w:pPr>
        <w:jc w:val="center"/>
        <w:rPr>
          <w:lang w:val="fr-FR"/>
        </w:rPr>
      </w:pPr>
    </w:p>
    <w:p w:rsidR="00603708" w:rsidRDefault="00603708" w:rsidP="00A62736">
      <w:pPr>
        <w:jc w:val="center"/>
        <w:rPr>
          <w:lang w:val="fr-FR"/>
        </w:rPr>
      </w:pPr>
    </w:p>
    <w:p w:rsidR="00603708" w:rsidRDefault="00A62736" w:rsidP="00FB37E8">
      <w:pPr>
        <w:rPr>
          <w:lang w:val="fr-FR"/>
        </w:rPr>
      </w:pPr>
      <w:r>
        <w:rPr>
          <w:i/>
          <w:sz w:val="22"/>
          <w:lang w:val="fr-FR"/>
        </w:rPr>
        <w:t>Cet arrêt deviendra définitif dans les conditions définies à l</w:t>
      </w:r>
      <w:r w:rsidR="00603708">
        <w:rPr>
          <w:i/>
          <w:sz w:val="22"/>
          <w:lang w:val="fr-FR"/>
        </w:rPr>
        <w:t>’</w:t>
      </w:r>
      <w:r>
        <w:rPr>
          <w:i/>
          <w:sz w:val="22"/>
          <w:lang w:val="fr-FR"/>
        </w:rPr>
        <w:t>article 44 § 2 de la Convention. Il peut subir des retouches de forme.</w:t>
      </w:r>
    </w:p>
    <w:p w:rsidR="00A62736" w:rsidRDefault="00A62736" w:rsidP="00E77CB3">
      <w:pPr>
        <w:pStyle w:val="JuCase"/>
        <w:rPr>
          <w:lang w:val="fr-FR"/>
        </w:rPr>
      </w:pPr>
    </w:p>
    <w:p w:rsidR="00603708" w:rsidRPr="00603708" w:rsidRDefault="00603708" w:rsidP="00603708">
      <w:pPr>
        <w:rPr>
          <w:lang w:val="fr-FR"/>
        </w:rPr>
        <w:sectPr w:rsidR="00603708" w:rsidRPr="00603708" w:rsidSect="00A62736">
          <w:headerReference w:type="default" r:id="rId12"/>
          <w:headerReference w:type="first" r:id="rId13"/>
          <w:footerReference w:type="first" r:id="rId14"/>
          <w:pgSz w:w="11906" w:h="16838" w:code="9"/>
          <w:pgMar w:top="2274" w:right="2274" w:bottom="2274" w:left="2274" w:header="1701" w:footer="720" w:gutter="0"/>
          <w:pgNumType w:start="1"/>
          <w:cols w:space="720"/>
          <w:titlePg/>
          <w:docGrid w:linePitch="326"/>
        </w:sectPr>
      </w:pPr>
    </w:p>
    <w:p w:rsidR="00E77CB3" w:rsidRPr="00C611D8" w:rsidRDefault="00E77CB3" w:rsidP="00E77CB3">
      <w:pPr>
        <w:pStyle w:val="JuCase"/>
        <w:rPr>
          <w:lang w:val="fr-FR"/>
        </w:rPr>
      </w:pPr>
      <w:r w:rsidRPr="00C611D8">
        <w:rPr>
          <w:lang w:val="fr-FR"/>
        </w:rPr>
        <w:lastRenderedPageBreak/>
        <w:t>En l</w:t>
      </w:r>
      <w:r w:rsidR="00603708">
        <w:rPr>
          <w:lang w:val="fr-FR"/>
        </w:rPr>
        <w:t>’</w:t>
      </w:r>
      <w:r w:rsidRPr="00C611D8">
        <w:rPr>
          <w:lang w:val="fr-FR"/>
        </w:rPr>
        <w:t xml:space="preserve">affaire </w:t>
      </w:r>
      <w:r w:rsidR="001C4340">
        <w:rPr>
          <w:lang w:val="fr-FR"/>
        </w:rPr>
        <w:t>Cestaro c. Italie</w:t>
      </w:r>
      <w:r w:rsidRPr="00C611D8">
        <w:rPr>
          <w:lang w:val="fr-FR"/>
        </w:rPr>
        <w:t>,</w:t>
      </w:r>
    </w:p>
    <w:p w:rsidR="00E77CB3" w:rsidRPr="00C611D8" w:rsidRDefault="00E77CB3" w:rsidP="00C63990">
      <w:pPr>
        <w:pStyle w:val="ECHRPara"/>
        <w:rPr>
          <w:lang w:val="fr-FR"/>
        </w:rPr>
      </w:pPr>
      <w:r w:rsidRPr="00C611D8">
        <w:rPr>
          <w:lang w:val="fr-FR"/>
        </w:rPr>
        <w:t>La Cour européenne des droits de l</w:t>
      </w:r>
      <w:r w:rsidR="00603708">
        <w:rPr>
          <w:lang w:val="fr-FR"/>
        </w:rPr>
        <w:t>’</w:t>
      </w:r>
      <w:r w:rsidRPr="00C611D8">
        <w:rPr>
          <w:lang w:val="fr-FR"/>
        </w:rPr>
        <w:t>homme (</w:t>
      </w:r>
      <w:r w:rsidR="00C432BD">
        <w:rPr>
          <w:lang w:val="fr-FR"/>
        </w:rPr>
        <w:t>quatr</w:t>
      </w:r>
      <w:r w:rsidR="001C4340">
        <w:rPr>
          <w:lang w:val="fr-FR"/>
        </w:rPr>
        <w:t>ième section</w:t>
      </w:r>
      <w:r w:rsidRPr="00C611D8">
        <w:rPr>
          <w:lang w:val="fr-FR"/>
        </w:rPr>
        <w:t xml:space="preserve">), siégeant en </w:t>
      </w:r>
      <w:r w:rsidR="001C4340" w:rsidRPr="00C611D8">
        <w:rPr>
          <w:lang w:val="fr-FR"/>
        </w:rPr>
        <w:t xml:space="preserve">une </w:t>
      </w:r>
      <w:r w:rsidR="001C4340">
        <w:rPr>
          <w:lang w:val="fr-FR"/>
        </w:rPr>
        <w:t>chambre</w:t>
      </w:r>
      <w:r w:rsidR="001C4340" w:rsidRPr="00C611D8">
        <w:rPr>
          <w:lang w:val="fr-FR"/>
        </w:rPr>
        <w:t xml:space="preserve"> composée</w:t>
      </w:r>
      <w:r w:rsidRPr="00C611D8">
        <w:rPr>
          <w:lang w:val="fr-FR"/>
        </w:rPr>
        <w:t xml:space="preserve"> de :</w:t>
      </w:r>
    </w:p>
    <w:p w:rsidR="00E77CB3" w:rsidRPr="00C611D8" w:rsidRDefault="00FB37E8" w:rsidP="00C63990">
      <w:pPr>
        <w:pStyle w:val="ECHRDecisionBody"/>
        <w:rPr>
          <w:lang w:val="fr-FR"/>
        </w:rPr>
      </w:pPr>
      <w:r w:rsidRPr="00FB37E8">
        <w:rPr>
          <w:lang w:val="fr-FR"/>
        </w:rPr>
        <w:tab/>
        <w:t>Päivi</w:t>
      </w:r>
      <w:r>
        <w:rPr>
          <w:lang w:val="fr-FR"/>
        </w:rPr>
        <w:t xml:space="preserve"> </w:t>
      </w:r>
      <w:r w:rsidRPr="00FB37E8">
        <w:rPr>
          <w:lang w:val="fr-FR"/>
        </w:rPr>
        <w:t>Hirvelä</w:t>
      </w:r>
      <w:r>
        <w:rPr>
          <w:lang w:val="fr-FR"/>
        </w:rPr>
        <w:t>,</w:t>
      </w:r>
      <w:r w:rsidRPr="00FB37E8">
        <w:rPr>
          <w:i/>
          <w:lang w:val="fr-FR"/>
        </w:rPr>
        <w:t xml:space="preserve"> présidente,</w:t>
      </w:r>
      <w:r>
        <w:rPr>
          <w:i/>
          <w:lang w:val="fr-FR"/>
        </w:rPr>
        <w:br/>
      </w:r>
      <w:r w:rsidRPr="00FB37E8">
        <w:rPr>
          <w:lang w:val="fr-FR"/>
        </w:rPr>
        <w:tab/>
        <w:t>Guido</w:t>
      </w:r>
      <w:r>
        <w:rPr>
          <w:lang w:val="fr-FR"/>
        </w:rPr>
        <w:t xml:space="preserve"> </w:t>
      </w:r>
      <w:r w:rsidRPr="00FB37E8">
        <w:rPr>
          <w:lang w:val="fr-FR"/>
        </w:rPr>
        <w:t>Raimondi</w:t>
      </w:r>
      <w:r>
        <w:rPr>
          <w:lang w:val="fr-FR"/>
        </w:rPr>
        <w:t>,</w:t>
      </w:r>
      <w:r>
        <w:rPr>
          <w:i/>
          <w:lang w:val="fr-FR"/>
        </w:rPr>
        <w:br/>
      </w:r>
      <w:r w:rsidRPr="00FB37E8">
        <w:rPr>
          <w:lang w:val="fr-FR"/>
        </w:rPr>
        <w:tab/>
        <w:t>George</w:t>
      </w:r>
      <w:r>
        <w:rPr>
          <w:lang w:val="fr-FR"/>
        </w:rPr>
        <w:t xml:space="preserve"> </w:t>
      </w:r>
      <w:r w:rsidRPr="00FB37E8">
        <w:rPr>
          <w:lang w:val="fr-FR"/>
        </w:rPr>
        <w:t>Nicolaou</w:t>
      </w:r>
      <w:r>
        <w:rPr>
          <w:lang w:val="fr-FR"/>
        </w:rPr>
        <w:t>,</w:t>
      </w:r>
      <w:r>
        <w:rPr>
          <w:i/>
          <w:lang w:val="fr-FR"/>
        </w:rPr>
        <w:br/>
      </w:r>
      <w:r w:rsidRPr="00FB37E8">
        <w:rPr>
          <w:lang w:val="fr-FR"/>
        </w:rPr>
        <w:tab/>
        <w:t>Ledi</w:t>
      </w:r>
      <w:r>
        <w:rPr>
          <w:lang w:val="fr-FR"/>
        </w:rPr>
        <w:t xml:space="preserve"> </w:t>
      </w:r>
      <w:r w:rsidRPr="00FB37E8">
        <w:rPr>
          <w:lang w:val="fr-FR"/>
        </w:rPr>
        <w:t>Bianku</w:t>
      </w:r>
      <w:r>
        <w:rPr>
          <w:lang w:val="fr-FR"/>
        </w:rPr>
        <w:t>,</w:t>
      </w:r>
      <w:r>
        <w:rPr>
          <w:i/>
          <w:lang w:val="fr-FR"/>
        </w:rPr>
        <w:br/>
      </w:r>
      <w:r w:rsidRPr="00FB37E8">
        <w:rPr>
          <w:lang w:val="fr-FR"/>
        </w:rPr>
        <w:tab/>
        <w:t>Nona</w:t>
      </w:r>
      <w:r>
        <w:rPr>
          <w:lang w:val="fr-FR"/>
        </w:rPr>
        <w:t xml:space="preserve"> </w:t>
      </w:r>
      <w:r w:rsidRPr="00FB37E8">
        <w:rPr>
          <w:lang w:val="fr-FR"/>
        </w:rPr>
        <w:t>Tsotsoria</w:t>
      </w:r>
      <w:r>
        <w:rPr>
          <w:lang w:val="fr-FR"/>
        </w:rPr>
        <w:t>,</w:t>
      </w:r>
      <w:r>
        <w:rPr>
          <w:i/>
          <w:lang w:val="fr-FR"/>
        </w:rPr>
        <w:br/>
      </w:r>
      <w:r w:rsidRPr="00FB37E8">
        <w:rPr>
          <w:lang w:val="fr-FR"/>
        </w:rPr>
        <w:tab/>
        <w:t>Krzysztof</w:t>
      </w:r>
      <w:r>
        <w:rPr>
          <w:lang w:val="fr-FR"/>
        </w:rPr>
        <w:t xml:space="preserve"> </w:t>
      </w:r>
      <w:r w:rsidRPr="00FB37E8">
        <w:rPr>
          <w:lang w:val="fr-FR"/>
        </w:rPr>
        <w:t>Wojtyczek</w:t>
      </w:r>
      <w:r>
        <w:rPr>
          <w:lang w:val="fr-FR"/>
        </w:rPr>
        <w:t>,</w:t>
      </w:r>
      <w:r>
        <w:rPr>
          <w:i/>
          <w:lang w:val="fr-FR"/>
        </w:rPr>
        <w:br/>
      </w:r>
      <w:r w:rsidRPr="00FB37E8">
        <w:rPr>
          <w:lang w:val="fr-FR"/>
        </w:rPr>
        <w:tab/>
        <w:t>Faris</w:t>
      </w:r>
      <w:r>
        <w:rPr>
          <w:lang w:val="fr-FR"/>
        </w:rPr>
        <w:t xml:space="preserve"> </w:t>
      </w:r>
      <w:r w:rsidRPr="00FB37E8">
        <w:rPr>
          <w:lang w:val="fr-FR"/>
        </w:rPr>
        <w:t>Vehabović</w:t>
      </w:r>
      <w:r>
        <w:rPr>
          <w:lang w:val="fr-FR"/>
        </w:rPr>
        <w:t>,</w:t>
      </w:r>
      <w:r w:rsidRPr="00FB37E8">
        <w:rPr>
          <w:i/>
          <w:lang w:val="fr-FR"/>
        </w:rPr>
        <w:t xml:space="preserve"> juges,</w:t>
      </w:r>
      <w:r w:rsidR="00E77CB3" w:rsidRPr="00C611D8">
        <w:rPr>
          <w:lang w:val="fr-FR"/>
        </w:rPr>
        <w:br/>
        <w:t xml:space="preserve">et de </w:t>
      </w:r>
      <w:r w:rsidR="00C432BD">
        <w:rPr>
          <w:lang w:val="fr-FR"/>
        </w:rPr>
        <w:t>Françoise Elens-Passos</w:t>
      </w:r>
      <w:r w:rsidR="00E77CB3" w:rsidRPr="00C611D8">
        <w:rPr>
          <w:lang w:val="fr-FR"/>
        </w:rPr>
        <w:t xml:space="preserve">, </w:t>
      </w:r>
      <w:r w:rsidR="001C4340" w:rsidRPr="00C611D8">
        <w:rPr>
          <w:i/>
          <w:lang w:val="fr-FR"/>
        </w:rPr>
        <w:t>greffi</w:t>
      </w:r>
      <w:r w:rsidR="00C432BD">
        <w:rPr>
          <w:i/>
          <w:lang w:val="fr-FR"/>
        </w:rPr>
        <w:t>è</w:t>
      </w:r>
      <w:r w:rsidR="001C4340" w:rsidRPr="00C611D8">
        <w:rPr>
          <w:i/>
          <w:lang w:val="fr-FR"/>
        </w:rPr>
        <w:t>r</w:t>
      </w:r>
      <w:r w:rsidR="00C432BD">
        <w:rPr>
          <w:i/>
          <w:lang w:val="fr-FR"/>
        </w:rPr>
        <w:t>e</w:t>
      </w:r>
      <w:r w:rsidR="001C4340" w:rsidRPr="00C611D8">
        <w:rPr>
          <w:iCs/>
          <w:lang w:val="fr-FR"/>
        </w:rPr>
        <w:t xml:space="preserve"> </w:t>
      </w:r>
      <w:r w:rsidR="001C4340" w:rsidRPr="00C611D8">
        <w:rPr>
          <w:i/>
          <w:iCs/>
          <w:lang w:val="fr-FR"/>
        </w:rPr>
        <w:t>d</w:t>
      </w:r>
      <w:r w:rsidR="001C4340" w:rsidRPr="00C611D8">
        <w:rPr>
          <w:i/>
          <w:lang w:val="fr-FR"/>
        </w:rPr>
        <w:t>e section</w:t>
      </w:r>
      <w:r w:rsidR="00E77CB3" w:rsidRPr="00C611D8">
        <w:rPr>
          <w:i/>
          <w:lang w:val="fr-FR"/>
        </w:rPr>
        <w:t>,</w:t>
      </w:r>
    </w:p>
    <w:p w:rsidR="00E77CB3" w:rsidRPr="00C611D8" w:rsidRDefault="00E77CB3" w:rsidP="00C63990">
      <w:pPr>
        <w:pStyle w:val="ECHRPara"/>
        <w:rPr>
          <w:lang w:val="fr-FR"/>
        </w:rPr>
      </w:pPr>
      <w:r w:rsidRPr="00C611D8">
        <w:rPr>
          <w:lang w:val="fr-FR"/>
        </w:rPr>
        <w:t xml:space="preserve">Après en avoir délibéré en chambre du conseil le </w:t>
      </w:r>
      <w:r w:rsidR="00FB37E8">
        <w:rPr>
          <w:lang w:val="fr-FR"/>
        </w:rPr>
        <w:t>17 mars 2015</w:t>
      </w:r>
      <w:r w:rsidRPr="00C611D8">
        <w:rPr>
          <w:lang w:val="fr-FR"/>
        </w:rPr>
        <w:t>,</w:t>
      </w:r>
    </w:p>
    <w:p w:rsidR="00E77CB3" w:rsidRPr="00C611D8" w:rsidRDefault="00E77CB3" w:rsidP="00C63990">
      <w:pPr>
        <w:pStyle w:val="ECHRPara"/>
        <w:rPr>
          <w:lang w:val="fr-FR"/>
        </w:rPr>
      </w:pPr>
      <w:r w:rsidRPr="00C611D8">
        <w:rPr>
          <w:lang w:val="fr-FR"/>
        </w:rPr>
        <w:t>Rend l</w:t>
      </w:r>
      <w:r w:rsidR="00603708">
        <w:rPr>
          <w:lang w:val="fr-FR"/>
        </w:rPr>
        <w:t>’</w:t>
      </w:r>
      <w:r w:rsidRPr="00C611D8">
        <w:rPr>
          <w:lang w:val="fr-FR"/>
        </w:rPr>
        <w:t>arrêt que voici, adopté à cette date :</w:t>
      </w:r>
    </w:p>
    <w:p w:rsidR="00E77CB3" w:rsidRPr="00C611D8" w:rsidRDefault="00E77CB3" w:rsidP="00E77CB3">
      <w:pPr>
        <w:pStyle w:val="ECHRTitle1"/>
        <w:rPr>
          <w:lang w:val="fr-FR"/>
        </w:rPr>
      </w:pPr>
      <w:r w:rsidRPr="00C611D8">
        <w:rPr>
          <w:lang w:val="fr-FR"/>
        </w:rPr>
        <w:t>PROCÉDURE</w:t>
      </w:r>
    </w:p>
    <w:p w:rsidR="00E77CB3" w:rsidRPr="00C611D8" w:rsidRDefault="00691803"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w:t>
      </w:r>
      <w:r>
        <w:rPr>
          <w:lang w:val="fr-FR"/>
        </w:rPr>
        <w:fldChar w:fldCharType="end"/>
      </w:r>
      <w:r>
        <w:rPr>
          <w:lang w:val="fr-FR"/>
        </w:rPr>
        <w:t>.  </w:t>
      </w:r>
      <w:r w:rsidR="00E77CB3" w:rsidRPr="00C611D8">
        <w:rPr>
          <w:lang w:val="fr-FR"/>
        </w:rPr>
        <w:t>À l</w:t>
      </w:r>
      <w:r w:rsidR="00603708">
        <w:rPr>
          <w:lang w:val="fr-FR"/>
        </w:rPr>
        <w:t>’</w:t>
      </w:r>
      <w:r w:rsidR="00E77CB3" w:rsidRPr="00C611D8">
        <w:rPr>
          <w:lang w:val="fr-FR"/>
        </w:rPr>
        <w:t>origine de l</w:t>
      </w:r>
      <w:r w:rsidR="00603708">
        <w:rPr>
          <w:lang w:val="fr-FR"/>
        </w:rPr>
        <w:t>’</w:t>
      </w:r>
      <w:r w:rsidR="00E77CB3" w:rsidRPr="00C611D8">
        <w:rPr>
          <w:lang w:val="fr-FR"/>
        </w:rPr>
        <w:t xml:space="preserve">affaire </w:t>
      </w:r>
      <w:r w:rsidR="001C4340" w:rsidRPr="00C611D8">
        <w:rPr>
          <w:lang w:val="fr-FR"/>
        </w:rPr>
        <w:t>se trouve une requête (n</w:t>
      </w:r>
      <w:r w:rsidR="00922063" w:rsidRPr="00922063">
        <w:rPr>
          <w:vertAlign w:val="superscript"/>
          <w:lang w:val="fr-FR"/>
        </w:rPr>
        <w:t>o</w:t>
      </w:r>
      <w:r w:rsidR="001C4340" w:rsidRPr="00C611D8">
        <w:rPr>
          <w:lang w:val="fr-FR"/>
        </w:rPr>
        <w:t xml:space="preserve"> </w:t>
      </w:r>
      <w:r w:rsidR="001C4340">
        <w:rPr>
          <w:lang w:val="fr-FR"/>
        </w:rPr>
        <w:t>6884/11</w:t>
      </w:r>
      <w:r w:rsidR="001C4340" w:rsidRPr="00C611D8">
        <w:rPr>
          <w:lang w:val="fr-FR"/>
        </w:rPr>
        <w:t>) dirigée</w:t>
      </w:r>
      <w:r w:rsidR="00E77CB3" w:rsidRPr="00C611D8">
        <w:rPr>
          <w:lang w:val="fr-FR"/>
        </w:rPr>
        <w:t xml:space="preserve"> contre </w:t>
      </w:r>
      <w:r w:rsidR="001C4340">
        <w:rPr>
          <w:lang w:val="fr-FR"/>
        </w:rPr>
        <w:t>la République italienne</w:t>
      </w:r>
      <w:r w:rsidR="00E77CB3" w:rsidRPr="00C611D8">
        <w:rPr>
          <w:lang w:val="fr-FR"/>
        </w:rPr>
        <w:t xml:space="preserve"> et dont </w:t>
      </w:r>
      <w:r w:rsidR="002B3856">
        <w:rPr>
          <w:lang w:val="fr-FR"/>
        </w:rPr>
        <w:t xml:space="preserve">un ressortissant </w:t>
      </w:r>
      <w:r w:rsidR="002B3856" w:rsidRPr="00922063">
        <w:rPr>
          <w:lang w:val="fr-FR"/>
        </w:rPr>
        <w:t xml:space="preserve">de </w:t>
      </w:r>
      <w:r w:rsidR="002B3856" w:rsidRPr="002B3856">
        <w:rPr>
          <w:lang w:val="fr-FR"/>
        </w:rPr>
        <w:t xml:space="preserve">cet </w:t>
      </w:r>
      <w:r w:rsidR="009907A7" w:rsidRPr="002B3856">
        <w:rPr>
          <w:lang w:val="fr-FR"/>
        </w:rPr>
        <w:t>État</w:t>
      </w:r>
      <w:r w:rsidR="001C4340" w:rsidRPr="00C611D8">
        <w:rPr>
          <w:lang w:val="fr-FR"/>
        </w:rPr>
        <w:t>,</w:t>
      </w:r>
      <w:r w:rsidR="005A7825">
        <w:rPr>
          <w:lang w:val="fr-FR"/>
        </w:rPr>
        <w:t xml:space="preserve"> </w:t>
      </w:r>
      <w:r w:rsidR="001C4340">
        <w:rPr>
          <w:lang w:val="fr-FR"/>
        </w:rPr>
        <w:t>M.</w:t>
      </w:r>
      <w:r w:rsidR="005A7825">
        <w:rPr>
          <w:lang w:val="fr-FR"/>
        </w:rPr>
        <w:t> </w:t>
      </w:r>
      <w:r w:rsidR="001C4340">
        <w:rPr>
          <w:lang w:val="fr-FR"/>
        </w:rPr>
        <w:t>Arnaldo</w:t>
      </w:r>
      <w:r w:rsidR="001C4340" w:rsidRPr="00C611D8">
        <w:rPr>
          <w:lang w:val="fr-FR"/>
        </w:rPr>
        <w:t xml:space="preserve"> </w:t>
      </w:r>
      <w:r w:rsidR="001C4340">
        <w:rPr>
          <w:lang w:val="fr-FR"/>
        </w:rPr>
        <w:t>Cestaro</w:t>
      </w:r>
      <w:r w:rsidR="001C4340" w:rsidRPr="00C611D8">
        <w:rPr>
          <w:lang w:val="fr-FR"/>
        </w:rPr>
        <w:t xml:space="preserve"> (« le requérant »), a saisi la Cour le </w:t>
      </w:r>
      <w:r w:rsidR="001C4340">
        <w:rPr>
          <w:lang w:val="fr-FR"/>
        </w:rPr>
        <w:t>28 janvier 2011</w:t>
      </w:r>
      <w:r w:rsidR="00E77CB3" w:rsidRPr="00C611D8">
        <w:rPr>
          <w:lang w:val="fr-FR"/>
        </w:rPr>
        <w:t xml:space="preserve"> en vertu de </w:t>
      </w:r>
      <w:r w:rsidR="001C4340" w:rsidRPr="00C611D8">
        <w:rPr>
          <w:lang w:val="fr-FR"/>
        </w:rPr>
        <w:t>l</w:t>
      </w:r>
      <w:r w:rsidR="00603708">
        <w:rPr>
          <w:lang w:val="fr-FR"/>
        </w:rPr>
        <w:t>’</w:t>
      </w:r>
      <w:r w:rsidR="001C4340" w:rsidRPr="00C611D8">
        <w:rPr>
          <w:lang w:val="fr-FR"/>
        </w:rPr>
        <w:t>article 34</w:t>
      </w:r>
      <w:r w:rsidR="00E77CB3" w:rsidRPr="00C611D8">
        <w:rPr>
          <w:lang w:val="fr-FR"/>
        </w:rPr>
        <w:t xml:space="preserve"> de la Convention de sauvegarde des droits de l</w:t>
      </w:r>
      <w:r w:rsidR="00603708">
        <w:rPr>
          <w:lang w:val="fr-FR"/>
        </w:rPr>
        <w:t>’</w:t>
      </w:r>
      <w:r w:rsidR="00E77CB3" w:rsidRPr="00C611D8">
        <w:rPr>
          <w:lang w:val="fr-FR"/>
        </w:rPr>
        <w:t>homme et des libertés fondamentales (« la Convention »).</w:t>
      </w:r>
    </w:p>
    <w:p w:rsidR="00922063"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w:t>
      </w:r>
      <w:r>
        <w:rPr>
          <w:lang w:val="fr-FR"/>
        </w:rPr>
        <w:fldChar w:fldCharType="end"/>
      </w:r>
      <w:r w:rsidR="00E77CB3" w:rsidRPr="00C611D8">
        <w:rPr>
          <w:lang w:val="fr-FR"/>
        </w:rPr>
        <w:t>.  </w:t>
      </w:r>
      <w:r w:rsidRPr="00C611D8">
        <w:rPr>
          <w:lang w:val="fr-FR"/>
        </w:rPr>
        <w:t xml:space="preserve">Le requérant a été représenté </w:t>
      </w:r>
      <w:r w:rsidR="002B3856" w:rsidRPr="002B3856">
        <w:rPr>
          <w:lang w:val="fr-FR"/>
        </w:rPr>
        <w:t>devant la Cour par M</w:t>
      </w:r>
      <w:r w:rsidR="002B3856" w:rsidRPr="002B3856">
        <w:rPr>
          <w:vertAlign w:val="superscript"/>
          <w:lang w:val="fr-FR"/>
        </w:rPr>
        <w:t>es</w:t>
      </w:r>
      <w:r w:rsidR="002B3856" w:rsidRPr="002B3856">
        <w:rPr>
          <w:lang w:val="fr-FR"/>
        </w:rPr>
        <w:t> Nicolò Paoletti et Natalia Paoletti, avocats à Rome, M</w:t>
      </w:r>
      <w:r w:rsidR="002B3856" w:rsidRPr="002B3856">
        <w:rPr>
          <w:vertAlign w:val="superscript"/>
          <w:lang w:val="fr-FR"/>
        </w:rPr>
        <w:t>e</w:t>
      </w:r>
      <w:r w:rsidR="002B3856" w:rsidRPr="002B3856">
        <w:rPr>
          <w:lang w:val="fr-FR"/>
        </w:rPr>
        <w:t xml:space="preserve"> Joachim Lau, avocat à Florence, et M</w:t>
      </w:r>
      <w:r w:rsidR="002B3856" w:rsidRPr="002B3856">
        <w:rPr>
          <w:vertAlign w:val="superscript"/>
          <w:lang w:val="fr-FR"/>
        </w:rPr>
        <w:t>e</w:t>
      </w:r>
      <w:r w:rsidR="005A7825">
        <w:rPr>
          <w:lang w:val="fr-FR"/>
        </w:rPr>
        <w:t> </w:t>
      </w:r>
      <w:r w:rsidR="002B3856" w:rsidRPr="002B3856">
        <w:rPr>
          <w:lang w:val="fr-FR"/>
        </w:rPr>
        <w:t>Dario Rossi, avocat à Gênes.</w:t>
      </w:r>
    </w:p>
    <w:p w:rsidR="00922063" w:rsidRDefault="004F5FF7" w:rsidP="00C63990">
      <w:pPr>
        <w:pStyle w:val="ECHRPara"/>
        <w:rPr>
          <w:lang w:val="fr-FR"/>
        </w:rPr>
      </w:pPr>
      <w:r w:rsidRPr="00F04FE8">
        <w:rPr>
          <w:lang w:val="fr-FR"/>
        </w:rPr>
        <w:t xml:space="preserve">Le </w:t>
      </w:r>
      <w:r w:rsidR="005E0E94">
        <w:rPr>
          <w:lang w:val="fr-FR"/>
        </w:rPr>
        <w:t>Gouvernement</w:t>
      </w:r>
      <w:r w:rsidRPr="00F04FE8">
        <w:rPr>
          <w:lang w:val="fr-FR"/>
        </w:rPr>
        <w:t xml:space="preserve"> italien a été représenté par son agent</w:t>
      </w:r>
      <w:r w:rsidR="006E0B1E">
        <w:rPr>
          <w:lang w:val="fr-FR"/>
        </w:rPr>
        <w:t>e</w:t>
      </w:r>
      <w:r w:rsidRPr="00F04FE8">
        <w:rPr>
          <w:lang w:val="fr-FR"/>
        </w:rPr>
        <w:t>, M</w:t>
      </w:r>
      <w:r w:rsidRPr="00F04FE8">
        <w:rPr>
          <w:vertAlign w:val="superscript"/>
          <w:lang w:val="fr-FR"/>
        </w:rPr>
        <w:t>me</w:t>
      </w:r>
      <w:r w:rsidRPr="00F04FE8">
        <w:rPr>
          <w:lang w:val="fr-FR"/>
        </w:rPr>
        <w:t> Ersiliagraz</w:t>
      </w:r>
      <w:r>
        <w:rPr>
          <w:lang w:val="fr-FR"/>
        </w:rPr>
        <w:t>ia Spatafora, et par s</w:t>
      </w:r>
      <w:r w:rsidR="006E0B1E">
        <w:rPr>
          <w:lang w:val="fr-FR"/>
        </w:rPr>
        <w:t>a</w:t>
      </w:r>
      <w:r>
        <w:rPr>
          <w:lang w:val="fr-FR"/>
        </w:rPr>
        <w:t xml:space="preserve"> </w:t>
      </w:r>
      <w:r w:rsidRPr="00F04FE8">
        <w:rPr>
          <w:lang w:val="fr-FR"/>
        </w:rPr>
        <w:t>coagent</w:t>
      </w:r>
      <w:r w:rsidR="006E0B1E">
        <w:rPr>
          <w:lang w:val="fr-FR"/>
        </w:rPr>
        <w:t>e</w:t>
      </w:r>
      <w:r w:rsidRPr="00F04FE8">
        <w:rPr>
          <w:lang w:val="fr-FR"/>
        </w:rPr>
        <w:t>,</w:t>
      </w:r>
      <w:r>
        <w:rPr>
          <w:lang w:val="fr-FR"/>
        </w:rPr>
        <w:t xml:space="preserve"> </w:t>
      </w:r>
      <w:r w:rsidRPr="00F04FE8">
        <w:rPr>
          <w:lang w:val="fr-FR"/>
        </w:rPr>
        <w:t>M</w:t>
      </w:r>
      <w:r w:rsidRPr="00F04FE8">
        <w:rPr>
          <w:vertAlign w:val="superscript"/>
          <w:lang w:val="fr-FR"/>
        </w:rPr>
        <w:t>me</w:t>
      </w:r>
      <w:r>
        <w:rPr>
          <w:vertAlign w:val="superscript"/>
          <w:lang w:val="fr-FR"/>
        </w:rPr>
        <w:t xml:space="preserve"> </w:t>
      </w:r>
      <w:r>
        <w:rPr>
          <w:lang w:val="fr-FR"/>
        </w:rPr>
        <w:t>Paola Accardo.</w:t>
      </w:r>
    </w:p>
    <w:p w:rsidR="0032468C" w:rsidRDefault="001C4340" w:rsidP="005A3826">
      <w:pPr>
        <w:autoSpaceDE w:val="0"/>
        <w:autoSpaceDN w:val="0"/>
        <w:adjustRightInd w:val="0"/>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w:t>
      </w:r>
      <w:r>
        <w:rPr>
          <w:lang w:val="fr-FR"/>
        </w:rPr>
        <w:fldChar w:fldCharType="end"/>
      </w:r>
      <w:r w:rsidRPr="00C611D8">
        <w:rPr>
          <w:lang w:val="fr-FR"/>
        </w:rPr>
        <w:t>.  </w:t>
      </w:r>
      <w:r w:rsidR="002B3856" w:rsidRPr="00C611D8">
        <w:rPr>
          <w:lang w:val="fr-FR"/>
        </w:rPr>
        <w:t>Le requérant allègue</w:t>
      </w:r>
      <w:r w:rsidR="002B3856">
        <w:rPr>
          <w:lang w:val="fr-FR"/>
        </w:rPr>
        <w:t xml:space="preserve"> que l</w:t>
      </w:r>
      <w:r w:rsidR="00B13255" w:rsidRPr="00B13255">
        <w:rPr>
          <w:lang w:val="fr-FR"/>
        </w:rPr>
        <w:t>a nuit du 21 au 22 juillet 2001, à la fin du sommet dit du « G8 » de Gênes, il se trouvait dan</w:t>
      </w:r>
      <w:r w:rsidR="00526C07">
        <w:rPr>
          <w:lang w:val="fr-FR"/>
        </w:rPr>
        <w:t>s un lieu d</w:t>
      </w:r>
      <w:r w:rsidR="00603708">
        <w:rPr>
          <w:lang w:val="fr-FR"/>
        </w:rPr>
        <w:t>’</w:t>
      </w:r>
      <w:r w:rsidR="00526C07">
        <w:rPr>
          <w:lang w:val="fr-FR"/>
        </w:rPr>
        <w:t>hébergement de nuit</w:t>
      </w:r>
      <w:r w:rsidR="005A3826">
        <w:rPr>
          <w:lang w:val="fr-FR"/>
        </w:rPr>
        <w:t xml:space="preserve">, à savoir </w:t>
      </w:r>
      <w:r w:rsidR="005A3826" w:rsidRPr="005A3826">
        <w:rPr>
          <w:lang w:val="fr-FR"/>
        </w:rPr>
        <w:t>l</w:t>
      </w:r>
      <w:r w:rsidR="00603708">
        <w:rPr>
          <w:lang w:val="fr-FR"/>
        </w:rPr>
        <w:t>’</w:t>
      </w:r>
      <w:r w:rsidR="005A3826" w:rsidRPr="005A3826">
        <w:rPr>
          <w:lang w:val="fr-FR"/>
        </w:rPr>
        <w:t>école Diaz-Pertini</w:t>
      </w:r>
      <w:r w:rsidR="00526C07">
        <w:rPr>
          <w:lang w:val="fr-FR"/>
        </w:rPr>
        <w:t>.</w:t>
      </w:r>
    </w:p>
    <w:p w:rsidR="007379E3" w:rsidRPr="00085B68" w:rsidRDefault="007379E3" w:rsidP="007379E3">
      <w:pPr>
        <w:autoSpaceDE w:val="0"/>
        <w:autoSpaceDN w:val="0"/>
        <w:adjustRightInd w:val="0"/>
        <w:ind w:firstLine="284"/>
        <w:rPr>
          <w:szCs w:val="24"/>
          <w:lang w:val="fr-FR" w:eastAsia="en-GB"/>
        </w:rPr>
      </w:pPr>
      <w:r>
        <w:rPr>
          <w:lang w:val="fr-FR"/>
        </w:rPr>
        <w:t>Invoquant l</w:t>
      </w:r>
      <w:r w:rsidR="00603708">
        <w:rPr>
          <w:lang w:val="fr-FR"/>
        </w:rPr>
        <w:t>’</w:t>
      </w:r>
      <w:r>
        <w:rPr>
          <w:lang w:val="fr-FR"/>
        </w:rPr>
        <w:t xml:space="preserve">article 3 de la Convention, le requérant se plaint </w:t>
      </w:r>
      <w:r w:rsidR="006E0B1E">
        <w:rPr>
          <w:lang w:val="fr-FR"/>
        </w:rPr>
        <w:t>d</w:t>
      </w:r>
      <w:r w:rsidR="00603708">
        <w:rPr>
          <w:lang w:val="fr-FR"/>
        </w:rPr>
        <w:t>’</w:t>
      </w:r>
      <w:r w:rsidR="006E0B1E">
        <w:rPr>
          <w:lang w:val="fr-FR"/>
        </w:rPr>
        <w:t xml:space="preserve">avoir été victime de violences et </w:t>
      </w:r>
      <w:r w:rsidR="00F87EE1">
        <w:rPr>
          <w:lang w:val="fr-FR"/>
        </w:rPr>
        <w:t xml:space="preserve">de </w:t>
      </w:r>
      <w:r w:rsidR="006E0B1E">
        <w:rPr>
          <w:lang w:val="fr-FR"/>
        </w:rPr>
        <w:t>sévices</w:t>
      </w:r>
      <w:r w:rsidR="006E0B1E">
        <w:rPr>
          <w:szCs w:val="24"/>
          <w:lang w:val="fr-FR" w:eastAsia="en-GB"/>
        </w:rPr>
        <w:t xml:space="preserve"> </w:t>
      </w:r>
      <w:r w:rsidR="006E0B1E" w:rsidRPr="00085B68">
        <w:rPr>
          <w:lang w:val="fr-FR"/>
        </w:rPr>
        <w:t xml:space="preserve">qui </w:t>
      </w:r>
      <w:r w:rsidR="006E0B1E">
        <w:rPr>
          <w:lang w:val="fr-FR"/>
        </w:rPr>
        <w:t>peuvent</w:t>
      </w:r>
      <w:r w:rsidR="006E0B1E" w:rsidRPr="00085B68">
        <w:rPr>
          <w:lang w:val="fr-FR"/>
        </w:rPr>
        <w:t xml:space="preserve"> </w:t>
      </w:r>
      <w:r w:rsidR="006E0B1E">
        <w:rPr>
          <w:lang w:val="fr-FR"/>
        </w:rPr>
        <w:t xml:space="preserve">selon lui </w:t>
      </w:r>
      <w:r w:rsidR="006E0B1E" w:rsidRPr="00085B68">
        <w:rPr>
          <w:lang w:val="fr-FR"/>
        </w:rPr>
        <w:t>être qualifiés de torture</w:t>
      </w:r>
      <w:r>
        <w:rPr>
          <w:lang w:val="fr-FR"/>
        </w:rPr>
        <w:t xml:space="preserve"> l</w:t>
      </w:r>
      <w:r w:rsidRPr="00B13255">
        <w:rPr>
          <w:lang w:val="fr-FR"/>
        </w:rPr>
        <w:t>ors de l</w:t>
      </w:r>
      <w:r w:rsidR="00603708">
        <w:rPr>
          <w:lang w:val="fr-FR"/>
        </w:rPr>
        <w:t>’</w:t>
      </w:r>
      <w:r w:rsidRPr="00B13255">
        <w:rPr>
          <w:lang w:val="fr-FR"/>
        </w:rPr>
        <w:t>irruption des forces de l</w:t>
      </w:r>
      <w:r w:rsidR="00603708">
        <w:rPr>
          <w:lang w:val="fr-FR"/>
        </w:rPr>
        <w:t>’</w:t>
      </w:r>
      <w:r w:rsidRPr="00B13255">
        <w:rPr>
          <w:lang w:val="fr-FR"/>
        </w:rPr>
        <w:t>ordre dans</w:t>
      </w:r>
      <w:r>
        <w:rPr>
          <w:lang w:val="fr-FR"/>
        </w:rPr>
        <w:t xml:space="preserve"> l</w:t>
      </w:r>
      <w:r w:rsidR="00603708">
        <w:rPr>
          <w:lang w:val="fr-FR"/>
        </w:rPr>
        <w:t>’</w:t>
      </w:r>
      <w:r>
        <w:rPr>
          <w:lang w:val="fr-FR"/>
        </w:rPr>
        <w:t>école Diaz-Pertini</w:t>
      </w:r>
      <w:r w:rsidRPr="00085B68">
        <w:rPr>
          <w:lang w:val="fr-FR"/>
        </w:rPr>
        <w:t>.</w:t>
      </w:r>
    </w:p>
    <w:p w:rsidR="007379E3" w:rsidRDefault="007379E3" w:rsidP="007379E3">
      <w:pPr>
        <w:autoSpaceDE w:val="0"/>
        <w:autoSpaceDN w:val="0"/>
        <w:adjustRightInd w:val="0"/>
        <w:ind w:firstLine="284"/>
        <w:rPr>
          <w:lang w:val="fr-FR" w:eastAsia="en-GB"/>
        </w:rPr>
      </w:pPr>
      <w:r>
        <w:rPr>
          <w:szCs w:val="24"/>
          <w:lang w:val="fr-FR" w:eastAsia="en-GB"/>
        </w:rPr>
        <w:t xml:space="preserve">Invoquant </w:t>
      </w:r>
      <w:r w:rsidR="004D61B2">
        <w:rPr>
          <w:szCs w:val="24"/>
          <w:lang w:val="fr-FR" w:eastAsia="en-GB"/>
        </w:rPr>
        <w:t>en</w:t>
      </w:r>
      <w:r w:rsidR="00F87EE1">
        <w:rPr>
          <w:szCs w:val="24"/>
          <w:lang w:val="fr-FR" w:eastAsia="en-GB"/>
        </w:rPr>
        <w:t>suite</w:t>
      </w:r>
      <w:r w:rsidR="004D61B2">
        <w:rPr>
          <w:szCs w:val="24"/>
          <w:lang w:val="fr-FR" w:eastAsia="en-GB"/>
        </w:rPr>
        <w:t xml:space="preserve"> </w:t>
      </w:r>
      <w:r>
        <w:rPr>
          <w:szCs w:val="24"/>
          <w:lang w:val="fr-FR" w:eastAsia="en-GB"/>
        </w:rPr>
        <w:t>les articles 3, 6 et 13 de la Convention,</w:t>
      </w:r>
      <w:r>
        <w:rPr>
          <w:rStyle w:val="sb8d990e2"/>
          <w:lang w:val="fr-FR"/>
        </w:rPr>
        <w:t xml:space="preserve"> i</w:t>
      </w:r>
      <w:r>
        <w:rPr>
          <w:szCs w:val="24"/>
          <w:lang w:val="fr-FR" w:eastAsia="en-GB"/>
        </w:rPr>
        <w:t xml:space="preserve">l </w:t>
      </w:r>
      <w:r w:rsidR="004D61B2">
        <w:rPr>
          <w:szCs w:val="24"/>
          <w:lang w:val="fr-FR" w:eastAsia="en-GB"/>
        </w:rPr>
        <w:t xml:space="preserve">soutient </w:t>
      </w:r>
      <w:r>
        <w:rPr>
          <w:szCs w:val="24"/>
          <w:lang w:val="fr-FR" w:eastAsia="en-GB"/>
        </w:rPr>
        <w:t xml:space="preserve">que </w:t>
      </w:r>
      <w:r w:rsidR="00F87EE1">
        <w:rPr>
          <w:szCs w:val="24"/>
          <w:lang w:val="fr-FR" w:eastAsia="en-GB"/>
        </w:rPr>
        <w:t>l</w:t>
      </w:r>
      <w:r>
        <w:rPr>
          <w:szCs w:val="24"/>
          <w:lang w:val="fr-FR" w:eastAsia="en-GB"/>
        </w:rPr>
        <w:t xml:space="preserve">es responsables de ces actes </w:t>
      </w:r>
      <w:r w:rsidR="00F87EE1">
        <w:rPr>
          <w:szCs w:val="24"/>
          <w:lang w:val="fr-FR" w:eastAsia="en-GB"/>
        </w:rPr>
        <w:t>n</w:t>
      </w:r>
      <w:r w:rsidR="00603708">
        <w:rPr>
          <w:szCs w:val="24"/>
          <w:lang w:val="fr-FR" w:eastAsia="en-GB"/>
        </w:rPr>
        <w:t>’</w:t>
      </w:r>
      <w:r w:rsidR="00F87EE1">
        <w:rPr>
          <w:szCs w:val="24"/>
          <w:lang w:val="fr-FR" w:eastAsia="en-GB"/>
        </w:rPr>
        <w:t xml:space="preserve">ont pas été sanctionnés de manière </w:t>
      </w:r>
      <w:r>
        <w:rPr>
          <w:szCs w:val="24"/>
          <w:lang w:val="fr-FR" w:eastAsia="en-GB"/>
        </w:rPr>
        <w:t xml:space="preserve">adéquate en raison, notamment, de la prescription au cours de la procédure pénale de la plupart des délits reprochés, de la remise </w:t>
      </w:r>
      <w:r w:rsidRPr="005A3826">
        <w:rPr>
          <w:lang w:val="fr-FR" w:eastAsia="en-GB"/>
        </w:rPr>
        <w:t>de</w:t>
      </w:r>
      <w:r>
        <w:rPr>
          <w:lang w:val="fr-FR" w:eastAsia="en-GB"/>
        </w:rPr>
        <w:t>s</w:t>
      </w:r>
      <w:r w:rsidRPr="005A3826">
        <w:rPr>
          <w:lang w:val="fr-FR" w:eastAsia="en-GB"/>
        </w:rPr>
        <w:t xml:space="preserve"> peine</w:t>
      </w:r>
      <w:r>
        <w:rPr>
          <w:lang w:val="fr-FR" w:eastAsia="en-GB"/>
        </w:rPr>
        <w:t xml:space="preserve">s dont certains condamnés </w:t>
      </w:r>
      <w:r w:rsidR="004D61B2">
        <w:rPr>
          <w:lang w:val="fr-FR" w:eastAsia="en-GB"/>
        </w:rPr>
        <w:t>auraien</w:t>
      </w:r>
      <w:r>
        <w:rPr>
          <w:lang w:val="fr-FR" w:eastAsia="en-GB"/>
        </w:rPr>
        <w:t>t bénéficié et de l</w:t>
      </w:r>
      <w:r w:rsidR="00603708">
        <w:rPr>
          <w:lang w:val="fr-FR" w:eastAsia="en-GB"/>
        </w:rPr>
        <w:t>’</w:t>
      </w:r>
      <w:r>
        <w:rPr>
          <w:lang w:val="fr-FR" w:eastAsia="en-GB"/>
        </w:rPr>
        <w:t xml:space="preserve">absence </w:t>
      </w:r>
      <w:r w:rsidRPr="005A3826">
        <w:rPr>
          <w:lang w:val="fr-FR" w:eastAsia="en-GB"/>
        </w:rPr>
        <w:t>de sanctions disciplinaires</w:t>
      </w:r>
      <w:r>
        <w:rPr>
          <w:lang w:val="fr-FR" w:eastAsia="en-GB"/>
        </w:rPr>
        <w:t xml:space="preserve"> à </w:t>
      </w:r>
      <w:r w:rsidR="00F87EE1">
        <w:rPr>
          <w:lang w:val="fr-FR" w:eastAsia="en-GB"/>
        </w:rPr>
        <w:t>l</w:t>
      </w:r>
      <w:r w:rsidR="00603708">
        <w:rPr>
          <w:lang w:val="fr-FR" w:eastAsia="en-GB"/>
        </w:rPr>
        <w:t>’</w:t>
      </w:r>
      <w:r w:rsidR="00F87EE1">
        <w:rPr>
          <w:lang w:val="fr-FR" w:eastAsia="en-GB"/>
        </w:rPr>
        <w:t xml:space="preserve">encontre </w:t>
      </w:r>
      <w:r>
        <w:rPr>
          <w:lang w:val="fr-FR" w:eastAsia="en-GB"/>
        </w:rPr>
        <w:t xml:space="preserve">de ces mêmes personnes. Il </w:t>
      </w:r>
      <w:r w:rsidR="004D61B2">
        <w:rPr>
          <w:lang w:val="fr-FR" w:eastAsia="en-GB"/>
        </w:rPr>
        <w:t>ajoute</w:t>
      </w:r>
      <w:r>
        <w:rPr>
          <w:lang w:val="fr-FR" w:eastAsia="en-GB"/>
        </w:rPr>
        <w:t xml:space="preserve"> en particulier que </w:t>
      </w:r>
      <w:r w:rsidRPr="005A3826">
        <w:rPr>
          <w:lang w:val="fr-FR" w:eastAsia="en-GB"/>
        </w:rPr>
        <w:t>l</w:t>
      </w:r>
      <w:r w:rsidR="00603708">
        <w:rPr>
          <w:lang w:val="fr-FR" w:eastAsia="en-GB"/>
        </w:rPr>
        <w:t>’</w:t>
      </w:r>
      <w:r w:rsidRPr="005A3826">
        <w:rPr>
          <w:lang w:val="fr-FR" w:eastAsia="en-GB"/>
        </w:rPr>
        <w:t>État, en s</w:t>
      </w:r>
      <w:r w:rsidR="00603708">
        <w:rPr>
          <w:lang w:val="fr-FR" w:eastAsia="en-GB"/>
        </w:rPr>
        <w:t>’</w:t>
      </w:r>
      <w:r w:rsidRPr="005A3826">
        <w:rPr>
          <w:lang w:val="fr-FR" w:eastAsia="en-GB"/>
        </w:rPr>
        <w:t>abstenant d</w:t>
      </w:r>
      <w:r w:rsidR="00603708">
        <w:rPr>
          <w:lang w:val="fr-FR" w:eastAsia="en-GB"/>
        </w:rPr>
        <w:t>’</w:t>
      </w:r>
      <w:r w:rsidRPr="005A3826">
        <w:rPr>
          <w:lang w:val="fr-FR" w:eastAsia="en-GB"/>
        </w:rPr>
        <w:t xml:space="preserve">inscrire en délit tout acte </w:t>
      </w:r>
      <w:r>
        <w:rPr>
          <w:lang w:val="fr-FR" w:eastAsia="en-GB"/>
        </w:rPr>
        <w:t xml:space="preserve">de torture et </w:t>
      </w:r>
      <w:r w:rsidRPr="005A3826">
        <w:rPr>
          <w:lang w:val="fr-FR" w:eastAsia="en-GB"/>
        </w:rPr>
        <w:t>de prévoir une peine adéquate pour un tel délit, n</w:t>
      </w:r>
      <w:r w:rsidR="00603708">
        <w:rPr>
          <w:lang w:val="fr-FR" w:eastAsia="en-GB"/>
        </w:rPr>
        <w:t>’</w:t>
      </w:r>
      <w:r w:rsidRPr="005A3826">
        <w:rPr>
          <w:lang w:val="fr-FR" w:eastAsia="en-GB"/>
        </w:rPr>
        <w:t>a pas adopté les mesures nécessaires pour prévenir</w:t>
      </w:r>
      <w:r w:rsidR="00873935">
        <w:rPr>
          <w:lang w:val="fr-FR" w:eastAsia="en-GB"/>
        </w:rPr>
        <w:t xml:space="preserve"> puis sanctionner </w:t>
      </w:r>
      <w:r w:rsidRPr="005A3826">
        <w:rPr>
          <w:lang w:val="fr-FR" w:eastAsia="en-GB"/>
        </w:rPr>
        <w:t xml:space="preserve">les </w:t>
      </w:r>
      <w:r>
        <w:rPr>
          <w:lang w:val="fr-FR" w:eastAsia="en-GB"/>
        </w:rPr>
        <w:t xml:space="preserve">violences et les autres mauvais traitements dont il </w:t>
      </w:r>
      <w:r w:rsidR="00F87EE1">
        <w:rPr>
          <w:lang w:val="fr-FR" w:eastAsia="en-GB"/>
        </w:rPr>
        <w:t>se plaint</w:t>
      </w:r>
      <w:r>
        <w:rPr>
          <w:lang w:val="fr-FR" w:eastAsia="en-GB"/>
        </w:rPr>
        <w:t>.</w:t>
      </w:r>
    </w:p>
    <w:p w:rsidR="00E77CB3" w:rsidRDefault="001C4340" w:rsidP="00C63990">
      <w:pPr>
        <w:pStyle w:val="ECHRPara"/>
        <w:rPr>
          <w:lang w:val="fr-FR"/>
        </w:rPr>
      </w:pPr>
      <w:r>
        <w:rPr>
          <w:lang w:val="fr-FR"/>
        </w:rPr>
        <w:lastRenderedPageBreak/>
        <w:fldChar w:fldCharType="begin"/>
      </w:r>
      <w:r>
        <w:rPr>
          <w:lang w:val="fr-FR"/>
        </w:rPr>
        <w:instrText xml:space="preserve"> SEQ level0 \*arabic </w:instrText>
      </w:r>
      <w:r>
        <w:rPr>
          <w:lang w:val="fr-FR"/>
        </w:rPr>
        <w:fldChar w:fldCharType="separate"/>
      </w:r>
      <w:r w:rsidR="00B378F9">
        <w:rPr>
          <w:noProof/>
          <w:lang w:val="fr-FR"/>
        </w:rPr>
        <w:t>4</w:t>
      </w:r>
      <w:r>
        <w:rPr>
          <w:lang w:val="fr-FR"/>
        </w:rPr>
        <w:fldChar w:fldCharType="end"/>
      </w:r>
      <w:r w:rsidR="00E77CB3" w:rsidRPr="00C611D8">
        <w:rPr>
          <w:lang w:val="fr-FR"/>
        </w:rPr>
        <w:t>.  </w:t>
      </w:r>
      <w:r w:rsidRPr="00C611D8">
        <w:rPr>
          <w:lang w:val="fr-FR"/>
        </w:rPr>
        <w:t xml:space="preserve">Le </w:t>
      </w:r>
      <w:r>
        <w:rPr>
          <w:lang w:val="fr-FR"/>
        </w:rPr>
        <w:t>18 décembre 2012</w:t>
      </w:r>
      <w:r w:rsidR="00E77CB3" w:rsidRPr="00C611D8">
        <w:rPr>
          <w:lang w:val="fr-FR"/>
        </w:rPr>
        <w:t xml:space="preserve">, </w:t>
      </w:r>
      <w:r w:rsidRPr="00C611D8">
        <w:rPr>
          <w:lang w:val="fr-FR"/>
        </w:rPr>
        <w:t>l</w:t>
      </w:r>
      <w:r w:rsidR="00AB5743">
        <w:rPr>
          <w:lang w:val="fr-FR"/>
        </w:rPr>
        <w:t>a requête a été communiquée au G</w:t>
      </w:r>
      <w:r w:rsidRPr="00C611D8">
        <w:rPr>
          <w:lang w:val="fr-FR"/>
        </w:rPr>
        <w:t>ouvernement</w:t>
      </w:r>
      <w:r w:rsidR="00C1262B" w:rsidRPr="00C611D8">
        <w:rPr>
          <w:lang w:val="fr-FR"/>
        </w:rPr>
        <w:t>.</w:t>
      </w:r>
    </w:p>
    <w:p w:rsidR="00922063" w:rsidRPr="00F04FE8" w:rsidRDefault="005A3826" w:rsidP="00922063">
      <w:pPr>
        <w:pStyle w:val="ECHRPara"/>
        <w:rPr>
          <w:rStyle w:val="sb8d990e2"/>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w:t>
      </w:r>
      <w:r>
        <w:rPr>
          <w:lang w:val="fr-FR"/>
        </w:rPr>
        <w:fldChar w:fldCharType="end"/>
      </w:r>
      <w:r>
        <w:rPr>
          <w:lang w:val="fr-FR"/>
        </w:rPr>
        <w:t>.  </w:t>
      </w:r>
      <w:r w:rsidR="00683BA9">
        <w:rPr>
          <w:rStyle w:val="sb8d990e2"/>
          <w:lang w:val="fr-FR"/>
        </w:rPr>
        <w:t xml:space="preserve">Tant les requérants que le </w:t>
      </w:r>
      <w:r w:rsidR="005E0E94">
        <w:rPr>
          <w:rStyle w:val="sb8d990e2"/>
          <w:lang w:val="fr-FR"/>
        </w:rPr>
        <w:t>Gouvernement</w:t>
      </w:r>
      <w:r w:rsidR="00683BA9">
        <w:rPr>
          <w:rStyle w:val="sb8d990e2"/>
          <w:lang w:val="fr-FR"/>
        </w:rPr>
        <w:t xml:space="preserve"> </w:t>
      </w:r>
      <w:r w:rsidR="00922063" w:rsidRPr="00F04FE8">
        <w:rPr>
          <w:rStyle w:val="sb8d990e2"/>
          <w:lang w:val="fr-FR"/>
        </w:rPr>
        <w:t>ont déposé</w:t>
      </w:r>
      <w:r w:rsidR="00922063">
        <w:rPr>
          <w:rStyle w:val="sb8d990e2"/>
          <w:lang w:val="fr-FR"/>
        </w:rPr>
        <w:t xml:space="preserve"> des observations écrites sur la recevabilité ainsi que sur le</w:t>
      </w:r>
      <w:r w:rsidR="00922063" w:rsidRPr="00F04FE8">
        <w:rPr>
          <w:rStyle w:val="sb8d990e2"/>
          <w:lang w:val="fr-FR"/>
        </w:rPr>
        <w:t xml:space="preserve"> fond de l</w:t>
      </w:r>
      <w:r w:rsidR="00603708">
        <w:rPr>
          <w:rStyle w:val="sb8d990e2"/>
          <w:lang w:val="fr-FR"/>
        </w:rPr>
        <w:t>’</w:t>
      </w:r>
      <w:r w:rsidR="00922063" w:rsidRPr="00F04FE8">
        <w:rPr>
          <w:rStyle w:val="sb8d990e2"/>
          <w:lang w:val="fr-FR"/>
        </w:rPr>
        <w:t>affaire.</w:t>
      </w:r>
    </w:p>
    <w:p w:rsidR="00922063" w:rsidRPr="00922063" w:rsidRDefault="00922063" w:rsidP="00922063">
      <w:pPr>
        <w:pStyle w:val="ECHRPara"/>
        <w:rPr>
          <w:szCs w:val="24"/>
          <w:lang w:val="fr-FR" w:eastAsia="en-GB"/>
        </w:rPr>
      </w:pPr>
      <w:r w:rsidRPr="00922063">
        <w:rPr>
          <w:rStyle w:val="sb8d990e2"/>
          <w:lang w:val="fr-FR"/>
        </w:rPr>
        <w:t xml:space="preserve">Des commentaires </w:t>
      </w:r>
      <w:r w:rsidR="005E0E94" w:rsidRPr="00382AFD">
        <w:rPr>
          <w:rStyle w:val="sb8d990e2"/>
          <w:lang w:val="fr-FR"/>
        </w:rPr>
        <w:t>conjoints</w:t>
      </w:r>
      <w:r w:rsidR="005E0E94">
        <w:rPr>
          <w:rStyle w:val="sb8d990e2"/>
          <w:lang w:val="fr-FR"/>
        </w:rPr>
        <w:t xml:space="preserve"> </w:t>
      </w:r>
      <w:r w:rsidRPr="00922063">
        <w:rPr>
          <w:rStyle w:val="sb8d990e2"/>
          <w:lang w:val="fr-FR"/>
        </w:rPr>
        <w:t>ont été reçus du Parti radical non violent transnational et transparti, de l</w:t>
      </w:r>
      <w:r w:rsidR="00603708">
        <w:rPr>
          <w:lang w:val="fr-FR"/>
        </w:rPr>
        <w:t>’</w:t>
      </w:r>
      <w:r w:rsidRPr="00922063">
        <w:rPr>
          <w:lang w:val="fr-FR"/>
        </w:rPr>
        <w:t>association « </w:t>
      </w:r>
      <w:r w:rsidRPr="000B5793">
        <w:rPr>
          <w:lang w:val="fr-FR"/>
        </w:rPr>
        <w:t>Non c</w:t>
      </w:r>
      <w:r w:rsidR="00603708">
        <w:rPr>
          <w:lang w:val="fr-FR"/>
        </w:rPr>
        <w:t>’</w:t>
      </w:r>
      <w:r w:rsidRPr="000B5793">
        <w:rPr>
          <w:lang w:val="fr-FR"/>
        </w:rPr>
        <w:t>è pace senza giustizia</w:t>
      </w:r>
      <w:r w:rsidRPr="00922063">
        <w:rPr>
          <w:lang w:val="fr-FR"/>
        </w:rPr>
        <w:t xml:space="preserve"> » </w:t>
      </w:r>
      <w:r w:rsidRPr="00922063">
        <w:rPr>
          <w:rStyle w:val="sb8d990e2"/>
          <w:lang w:val="fr-FR"/>
        </w:rPr>
        <w:t>et des Radicaux italiens</w:t>
      </w:r>
      <w:r w:rsidRPr="00922063">
        <w:rPr>
          <w:lang w:val="fr-FR"/>
        </w:rPr>
        <w:t xml:space="preserve"> (anciennement Parti radical italien)</w:t>
      </w:r>
      <w:r w:rsidR="005A7825">
        <w:rPr>
          <w:rStyle w:val="sb8d990e2"/>
          <w:lang w:val="fr-FR"/>
        </w:rPr>
        <w:t xml:space="preserve"> que la vice</w:t>
      </w:r>
      <w:r w:rsidR="005A7825">
        <w:rPr>
          <w:rStyle w:val="sb8d990e2"/>
          <w:lang w:val="fr-FR"/>
        </w:rPr>
        <w:noBreakHyphen/>
      </w:r>
      <w:r w:rsidRPr="00922063">
        <w:rPr>
          <w:rStyle w:val="sb8d990e2"/>
          <w:lang w:val="fr-FR"/>
        </w:rPr>
        <w:t xml:space="preserve">présidente de la section avait autorisés à intervenir dans la procédure écrite (article 36 § 2 de la Convention et </w:t>
      </w:r>
      <w:r w:rsidR="004D61B2">
        <w:rPr>
          <w:rStyle w:val="sb8d990e2"/>
          <w:lang w:val="fr-FR"/>
        </w:rPr>
        <w:t xml:space="preserve">article </w:t>
      </w:r>
      <w:r w:rsidRPr="00922063">
        <w:rPr>
          <w:rStyle w:val="sb8d990e2"/>
          <w:lang w:val="fr-FR"/>
        </w:rPr>
        <w:t>44 § 3 du règlement).</w:t>
      </w:r>
    </w:p>
    <w:p w:rsidR="00E77CB3" w:rsidRPr="00C611D8" w:rsidRDefault="00E77CB3" w:rsidP="00E77CB3">
      <w:pPr>
        <w:pStyle w:val="ECHRTitle1"/>
        <w:tabs>
          <w:tab w:val="left" w:pos="5387"/>
        </w:tabs>
        <w:rPr>
          <w:lang w:val="fr-FR"/>
        </w:rPr>
      </w:pPr>
      <w:r w:rsidRPr="00C611D8">
        <w:rPr>
          <w:lang w:val="fr-FR"/>
        </w:rPr>
        <w:t>EN FAIT</w:t>
      </w:r>
    </w:p>
    <w:p w:rsidR="00E77CB3" w:rsidRPr="00C611D8" w:rsidRDefault="00E77CB3" w:rsidP="00C63990">
      <w:pPr>
        <w:pStyle w:val="ECHRHeading1"/>
        <w:rPr>
          <w:lang w:val="fr-FR"/>
        </w:rPr>
      </w:pPr>
      <w:r w:rsidRPr="00C611D8">
        <w:rPr>
          <w:lang w:val="fr-FR"/>
        </w:rPr>
        <w:t>I.  LES CIRCONSTANCES DE L</w:t>
      </w:r>
      <w:r w:rsidR="00603708">
        <w:rPr>
          <w:lang w:val="fr-FR"/>
        </w:rPr>
        <w:t>’</w:t>
      </w:r>
      <w:r w:rsidRPr="00C611D8">
        <w:rPr>
          <w:lang w:val="fr-FR"/>
        </w:rPr>
        <w:t>ESPÈCE</w:t>
      </w:r>
    </w:p>
    <w:p w:rsidR="00E77CB3" w:rsidRPr="00C611D8"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w:t>
      </w:r>
      <w:r>
        <w:rPr>
          <w:lang w:val="fr-FR"/>
        </w:rPr>
        <w:fldChar w:fldCharType="end"/>
      </w:r>
      <w:r w:rsidR="00E77CB3" w:rsidRPr="00C611D8">
        <w:rPr>
          <w:lang w:val="fr-FR"/>
        </w:rPr>
        <w:t>.  </w:t>
      </w:r>
      <w:r w:rsidRPr="00C611D8">
        <w:rPr>
          <w:lang w:val="fr-FR"/>
        </w:rPr>
        <w:t xml:space="preserve">Le requérant est né en </w:t>
      </w:r>
      <w:r>
        <w:rPr>
          <w:lang w:val="fr-FR"/>
        </w:rPr>
        <w:t>1939</w:t>
      </w:r>
      <w:r w:rsidRPr="00C611D8">
        <w:rPr>
          <w:lang w:val="fr-FR"/>
        </w:rPr>
        <w:t xml:space="preserve"> et réside à </w:t>
      </w:r>
      <w:r>
        <w:rPr>
          <w:lang w:val="fr-FR"/>
        </w:rPr>
        <w:t>Rome</w:t>
      </w:r>
      <w:r w:rsidR="00E77CB3" w:rsidRPr="00C611D8">
        <w:rPr>
          <w:lang w:val="fr-FR"/>
        </w:rPr>
        <w:t>.</w:t>
      </w:r>
    </w:p>
    <w:p w:rsidR="00730D47" w:rsidRPr="00730D47" w:rsidRDefault="00C37976" w:rsidP="00C37976">
      <w:pPr>
        <w:pStyle w:val="ECHRHeading2"/>
        <w:rPr>
          <w:lang w:val="fr-FR"/>
        </w:rPr>
      </w:pPr>
      <w:r>
        <w:rPr>
          <w:lang w:val="fr-FR"/>
        </w:rPr>
        <w:t>A</w:t>
      </w:r>
      <w:r w:rsidR="00730D47" w:rsidRPr="00730D47">
        <w:rPr>
          <w:lang w:val="fr-FR"/>
        </w:rPr>
        <w:t>.  Le contexte dans lequel s</w:t>
      </w:r>
      <w:r w:rsidR="00603708">
        <w:rPr>
          <w:lang w:val="fr-FR"/>
        </w:rPr>
        <w:t>’</w:t>
      </w:r>
      <w:r w:rsidR="00730D47" w:rsidRPr="00730D47">
        <w:rPr>
          <w:lang w:val="fr-FR"/>
        </w:rPr>
        <w:t>est tenu le G8 de Gênes</w:t>
      </w:r>
    </w:p>
    <w:p w:rsidR="00730D47" w:rsidRPr="00730D47" w:rsidRDefault="00A37B0F" w:rsidP="00A37B0F">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w:t>
      </w:r>
      <w:r>
        <w:rPr>
          <w:lang w:val="fr-FR"/>
        </w:rPr>
        <w:fldChar w:fldCharType="end"/>
      </w:r>
      <w:r>
        <w:rPr>
          <w:lang w:val="fr-FR"/>
        </w:rPr>
        <w:t>.  </w:t>
      </w:r>
      <w:r w:rsidR="00730D47" w:rsidRPr="00730D47">
        <w:rPr>
          <w:lang w:val="fr-FR"/>
        </w:rPr>
        <w:t>Les 19, 20 et 21 juillet 2001 se déroula à Gênes, sous la présidence italienne, le vingt-septième sommet du G8.</w:t>
      </w:r>
    </w:p>
    <w:p w:rsidR="00730D47" w:rsidRPr="00730D47" w:rsidRDefault="00A37B0F"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w:t>
      </w:r>
      <w:r>
        <w:rPr>
          <w:lang w:val="fr-FR"/>
        </w:rPr>
        <w:fldChar w:fldCharType="end"/>
      </w:r>
      <w:r>
        <w:rPr>
          <w:lang w:val="fr-FR"/>
        </w:rPr>
        <w:t>.  </w:t>
      </w:r>
      <w:r w:rsidR="00730D47" w:rsidRPr="00730D47">
        <w:rPr>
          <w:lang w:val="fr-FR"/>
        </w:rPr>
        <w:t>En vue de ce sommet, de nombreuses organisations non gouvernementales avaient constitué un groupe de coordination nommé Genoa Social Forum (</w:t>
      </w:r>
      <w:r w:rsidR="00C37976">
        <w:rPr>
          <w:lang w:val="fr-FR"/>
        </w:rPr>
        <w:t>« </w:t>
      </w:r>
      <w:r w:rsidR="00730D47" w:rsidRPr="00730D47">
        <w:rPr>
          <w:lang w:val="fr-FR"/>
        </w:rPr>
        <w:t>GSF</w:t>
      </w:r>
      <w:r w:rsidR="00C37976">
        <w:rPr>
          <w:lang w:val="fr-FR"/>
        </w:rPr>
        <w:t> »</w:t>
      </w:r>
      <w:r w:rsidR="00730D47" w:rsidRPr="00730D47">
        <w:rPr>
          <w:lang w:val="fr-FR"/>
        </w:rPr>
        <w:t>), dans le but d</w:t>
      </w:r>
      <w:r w:rsidR="00603708">
        <w:rPr>
          <w:lang w:val="fr-FR"/>
        </w:rPr>
        <w:t>’</w:t>
      </w:r>
      <w:r w:rsidR="00730D47" w:rsidRPr="00730D47">
        <w:rPr>
          <w:lang w:val="fr-FR"/>
        </w:rPr>
        <w:t>organiser à Gênes, à la même période, un sommet altermondialiste (voir le R</w:t>
      </w:r>
      <w:r w:rsidR="00730D47" w:rsidRPr="00730D47">
        <w:rPr>
          <w:szCs w:val="24"/>
          <w:lang w:val="fr-FR"/>
        </w:rPr>
        <w:t>apport final de l</w:t>
      </w:r>
      <w:r w:rsidR="00603708">
        <w:rPr>
          <w:szCs w:val="24"/>
          <w:lang w:val="fr-FR"/>
        </w:rPr>
        <w:t>’</w:t>
      </w:r>
      <w:r w:rsidR="00730D47" w:rsidRPr="00730D47">
        <w:rPr>
          <w:szCs w:val="24"/>
          <w:lang w:val="fr-FR"/>
        </w:rPr>
        <w:t>enquête parlementaire d</w:t>
      </w:r>
      <w:r w:rsidR="00603708">
        <w:rPr>
          <w:szCs w:val="24"/>
          <w:lang w:val="fr-FR"/>
        </w:rPr>
        <w:t>’</w:t>
      </w:r>
      <w:r w:rsidR="00730D47" w:rsidRPr="00730D47">
        <w:rPr>
          <w:szCs w:val="24"/>
          <w:lang w:val="fr-FR"/>
        </w:rPr>
        <w:t>information sur les faits survenus lors du G8 de Gênes (« Rapport final de l</w:t>
      </w:r>
      <w:r w:rsidR="00603708">
        <w:rPr>
          <w:szCs w:val="24"/>
          <w:lang w:val="fr-FR"/>
        </w:rPr>
        <w:t>’</w:t>
      </w:r>
      <w:r w:rsidR="00730D47" w:rsidRPr="00730D47">
        <w:rPr>
          <w:szCs w:val="24"/>
          <w:lang w:val="fr-FR"/>
        </w:rPr>
        <w:t>enquête parlementaire »), pp. 7-18)</w:t>
      </w:r>
      <w:r w:rsidR="00730D47" w:rsidRPr="00730D47">
        <w:rPr>
          <w:lang w:val="fr-FR"/>
        </w:rPr>
        <w:t>.</w:t>
      </w:r>
    </w:p>
    <w:p w:rsidR="00730D47" w:rsidRPr="00730D47" w:rsidRDefault="00C3797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9</w:t>
      </w:r>
      <w:r>
        <w:rPr>
          <w:lang w:val="fr-FR"/>
        </w:rPr>
        <w:fldChar w:fldCharType="end"/>
      </w:r>
      <w:r>
        <w:rPr>
          <w:lang w:val="fr-FR"/>
        </w:rPr>
        <w:t>.  </w:t>
      </w:r>
      <w:r w:rsidR="00730D47" w:rsidRPr="00730D47">
        <w:rPr>
          <w:lang w:val="fr-FR"/>
        </w:rPr>
        <w:t>Depuis la réunion de l</w:t>
      </w:r>
      <w:r w:rsidR="00603708">
        <w:rPr>
          <w:lang w:val="fr-FR"/>
        </w:rPr>
        <w:t>’</w:t>
      </w:r>
      <w:r w:rsidR="00730D47" w:rsidRPr="00730D47">
        <w:rPr>
          <w:lang w:val="fr-FR"/>
        </w:rPr>
        <w:t xml:space="preserve">Organisation mondiale du commerce tenue à Seattle en novembre 1999, pareilles manifestations du mouvement altermondialiste se déroulent lors des sommets interétatiques ou </w:t>
      </w:r>
      <w:r w:rsidR="00F87EE1">
        <w:rPr>
          <w:lang w:val="fr-FR"/>
        </w:rPr>
        <w:t xml:space="preserve">lors </w:t>
      </w:r>
      <w:r w:rsidR="00730D47" w:rsidRPr="00730D47">
        <w:rPr>
          <w:lang w:val="fr-FR"/>
        </w:rPr>
        <w:t>des réunions d</w:t>
      </w:r>
      <w:r w:rsidR="00603708">
        <w:rPr>
          <w:lang w:val="fr-FR"/>
        </w:rPr>
        <w:t>’</w:t>
      </w:r>
      <w:r w:rsidR="00730D47" w:rsidRPr="00730D47">
        <w:rPr>
          <w:lang w:val="fr-FR"/>
        </w:rPr>
        <w:t>institutions internationales concernant les divers aspects de la gouvernance globale. Elles s</w:t>
      </w:r>
      <w:r w:rsidR="00603708">
        <w:rPr>
          <w:lang w:val="fr-FR"/>
        </w:rPr>
        <w:t>’</w:t>
      </w:r>
      <w:r w:rsidR="00730D47" w:rsidRPr="00730D47">
        <w:rPr>
          <w:lang w:val="fr-FR"/>
        </w:rPr>
        <w:t>accompagnent parfois d</w:t>
      </w:r>
      <w:r w:rsidR="00603708">
        <w:rPr>
          <w:lang w:val="fr-FR"/>
        </w:rPr>
        <w:t>’</w:t>
      </w:r>
      <w:r w:rsidR="00730D47" w:rsidRPr="00730D47">
        <w:rPr>
          <w:lang w:val="fr-FR"/>
        </w:rPr>
        <w:t>actes de vandalisme et d</w:t>
      </w:r>
      <w:r w:rsidR="00603708">
        <w:rPr>
          <w:lang w:val="fr-FR"/>
        </w:rPr>
        <w:t>’</w:t>
      </w:r>
      <w:r w:rsidR="00730D47" w:rsidRPr="00730D47">
        <w:rPr>
          <w:lang w:val="fr-FR"/>
        </w:rPr>
        <w:t>accrochages avec la police (</w:t>
      </w:r>
      <w:r w:rsidR="00730D47" w:rsidRPr="00730D47">
        <w:rPr>
          <w:i/>
          <w:szCs w:val="24"/>
          <w:lang w:val="fr-FR"/>
        </w:rPr>
        <w:t>ibidem</w:t>
      </w:r>
      <w:r w:rsidR="00730D47" w:rsidRPr="00730D47">
        <w:rPr>
          <w:szCs w:val="24"/>
          <w:lang w:val="fr-FR"/>
        </w:rPr>
        <w:t>)</w:t>
      </w:r>
      <w:r w:rsidR="00730D47" w:rsidRPr="00730D47">
        <w:rPr>
          <w:lang w:val="fr-FR"/>
        </w:rPr>
        <w:t>.</w:t>
      </w:r>
    </w:p>
    <w:p w:rsidR="00730D47" w:rsidRPr="00730D47" w:rsidRDefault="00C3797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10</w:t>
      </w:r>
      <w:r>
        <w:rPr>
          <w:lang w:val="fr-FR"/>
        </w:rPr>
        <w:fldChar w:fldCharType="end"/>
      </w:r>
      <w:r>
        <w:rPr>
          <w:lang w:val="fr-FR"/>
        </w:rPr>
        <w:t>.  </w:t>
      </w:r>
      <w:r w:rsidR="00730D47" w:rsidRPr="00730D47">
        <w:rPr>
          <w:lang w:val="fr-FR"/>
        </w:rPr>
        <w:t>La loi n</w:t>
      </w:r>
      <w:r w:rsidR="00730D47" w:rsidRPr="00730D47">
        <w:rPr>
          <w:vertAlign w:val="superscript"/>
          <w:lang w:val="fr-FR"/>
        </w:rPr>
        <w:t>o</w:t>
      </w:r>
      <w:r w:rsidR="00730D47" w:rsidRPr="00730D47">
        <w:rPr>
          <w:lang w:val="fr-FR"/>
        </w:rPr>
        <w:t xml:space="preserve"> 349 du 8 juin 2000 (« la loi n</w:t>
      </w:r>
      <w:r w:rsidR="00730D47" w:rsidRPr="00730D47">
        <w:rPr>
          <w:vertAlign w:val="superscript"/>
          <w:lang w:val="fr-FR"/>
        </w:rPr>
        <w:t>o</w:t>
      </w:r>
      <w:r w:rsidR="00730D47" w:rsidRPr="00730D47">
        <w:rPr>
          <w:lang w:val="fr-FR"/>
        </w:rPr>
        <w:t xml:space="preserve"> 349/2000 ») avait confié l</w:t>
      </w:r>
      <w:r w:rsidR="00603708">
        <w:rPr>
          <w:lang w:val="fr-FR"/>
        </w:rPr>
        <w:t>’</w:t>
      </w:r>
      <w:r w:rsidR="00730D47" w:rsidRPr="00730D47">
        <w:rPr>
          <w:lang w:val="fr-FR"/>
        </w:rPr>
        <w:t>organisation des réunions préliminaires et du sommet final des chefs d</w:t>
      </w:r>
      <w:r w:rsidR="00603708">
        <w:rPr>
          <w:lang w:val="fr-FR"/>
        </w:rPr>
        <w:t>’</w:t>
      </w:r>
      <w:r w:rsidRPr="00730D47">
        <w:rPr>
          <w:lang w:val="fr-FR"/>
        </w:rPr>
        <w:t>État</w:t>
      </w:r>
      <w:r w:rsidR="00730D47" w:rsidRPr="00730D47">
        <w:rPr>
          <w:lang w:val="fr-FR"/>
        </w:rPr>
        <w:t xml:space="preserve"> et de gouvernement prévu pour juillet 2001 à une structure plénipotentiaire créée au sein de la présidence du Conseil des ministres. Plusieurs réunions rassemblèrent les représentants du GSF, le chef de la structure plénipoten</w:t>
      </w:r>
      <w:r w:rsidR="005306D1">
        <w:rPr>
          <w:lang w:val="fr-FR"/>
        </w:rPr>
        <w:t>tiaire, le préfet de Gênes, le M</w:t>
      </w:r>
      <w:r w:rsidR="00730D47" w:rsidRPr="00730D47">
        <w:rPr>
          <w:lang w:val="fr-FR"/>
        </w:rPr>
        <w:t>inistre de l</w:t>
      </w:r>
      <w:r w:rsidR="00603708">
        <w:rPr>
          <w:lang w:val="fr-FR"/>
        </w:rPr>
        <w:t>’</w:t>
      </w:r>
      <w:r w:rsidR="00730D47" w:rsidRPr="00730D47">
        <w:rPr>
          <w:lang w:val="fr-FR"/>
        </w:rPr>
        <w:t xml:space="preserve">Intérieur, le </w:t>
      </w:r>
      <w:r w:rsidR="005306D1">
        <w:rPr>
          <w:lang w:val="fr-FR"/>
        </w:rPr>
        <w:t>M</w:t>
      </w:r>
      <w:r w:rsidR="00730D47" w:rsidRPr="00730D47">
        <w:rPr>
          <w:lang w:val="fr-FR"/>
        </w:rPr>
        <w:t>inistre des Affaires étrangères et des représentants des institutions locales (</w:t>
      </w:r>
      <w:r w:rsidR="00730D47" w:rsidRPr="00730D47">
        <w:rPr>
          <w:szCs w:val="24"/>
          <w:lang w:val="fr-FR"/>
        </w:rPr>
        <w:t>Rapport final de l</w:t>
      </w:r>
      <w:r w:rsidR="00603708">
        <w:rPr>
          <w:szCs w:val="24"/>
          <w:lang w:val="fr-FR"/>
        </w:rPr>
        <w:t>’</w:t>
      </w:r>
      <w:r w:rsidR="00730D47" w:rsidRPr="00730D47">
        <w:rPr>
          <w:szCs w:val="24"/>
          <w:lang w:val="fr-FR"/>
        </w:rPr>
        <w:t>enquête parlementaire, pp. 18-21)</w:t>
      </w:r>
      <w:r w:rsidR="00730D47" w:rsidRPr="00730D47">
        <w:rPr>
          <w:lang w:val="fr-FR"/>
        </w:rPr>
        <w:t>.</w:t>
      </w:r>
    </w:p>
    <w:p w:rsidR="00730D47" w:rsidRPr="00730D47" w:rsidRDefault="00C3797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11</w:t>
      </w:r>
      <w:r>
        <w:rPr>
          <w:lang w:val="fr-FR"/>
        </w:rPr>
        <w:fldChar w:fldCharType="end"/>
      </w:r>
      <w:r>
        <w:rPr>
          <w:lang w:val="fr-FR"/>
        </w:rPr>
        <w:t>.  </w:t>
      </w:r>
      <w:r w:rsidR="00730D47" w:rsidRPr="00730D47">
        <w:rPr>
          <w:lang w:val="fr-FR"/>
        </w:rPr>
        <w:t>Un important dispositif de sécurité fut mis en place par les autorités italiennes (</w:t>
      </w:r>
      <w:r w:rsidR="00730D47" w:rsidRPr="00730D47">
        <w:rPr>
          <w:i/>
          <w:lang w:val="fr-FR"/>
        </w:rPr>
        <w:t xml:space="preserve">Giuliani et Gaggio c. Italie </w:t>
      </w:r>
      <w:r w:rsidR="00730D47" w:rsidRPr="00730D47">
        <w:rPr>
          <w:lang w:val="fr-FR"/>
        </w:rPr>
        <w:t>[GC], n</w:t>
      </w:r>
      <w:r w:rsidR="00730D47" w:rsidRPr="00730D47">
        <w:rPr>
          <w:vertAlign w:val="superscript"/>
          <w:lang w:val="fr-FR"/>
        </w:rPr>
        <w:t>o</w:t>
      </w:r>
      <w:r w:rsidR="00730D47" w:rsidRPr="00730D47">
        <w:rPr>
          <w:lang w:val="fr-FR"/>
        </w:rPr>
        <w:t xml:space="preserve"> 23458/02</w:t>
      </w:r>
      <w:r w:rsidR="00730D47" w:rsidRPr="00730D47">
        <w:rPr>
          <w:snapToGrid w:val="0"/>
          <w:szCs w:val="24"/>
          <w:lang w:val="fr-FR"/>
        </w:rPr>
        <w:t xml:space="preserve">, § 12, </w:t>
      </w:r>
      <w:r w:rsidR="00730D47" w:rsidRPr="00730D47">
        <w:rPr>
          <w:szCs w:val="24"/>
          <w:lang w:val="fr-FR"/>
        </w:rPr>
        <w:t>CEDH</w:t>
      </w:r>
      <w:r w:rsidR="00730D47" w:rsidRPr="00730D47">
        <w:rPr>
          <w:snapToGrid w:val="0"/>
          <w:szCs w:val="24"/>
          <w:lang w:val="fr-FR"/>
        </w:rPr>
        <w:t xml:space="preserve"> 2011)</w:t>
      </w:r>
      <w:r w:rsidR="00730D47" w:rsidRPr="00730D47">
        <w:rPr>
          <w:lang w:val="fr-FR"/>
        </w:rPr>
        <w:t>. La loi n</w:t>
      </w:r>
      <w:r w:rsidR="00730D47" w:rsidRPr="00730D47">
        <w:rPr>
          <w:vertAlign w:val="superscript"/>
          <w:lang w:val="fr-FR"/>
        </w:rPr>
        <w:t>o</w:t>
      </w:r>
      <w:r w:rsidR="00730D47" w:rsidRPr="00730D47">
        <w:rPr>
          <w:lang w:val="fr-FR"/>
        </w:rPr>
        <w:t xml:space="preserve"> 349/2000 autorisait le préfet de Gênes à recourir au personnel des forces armées. En outre, une « zone rouge » avait été délimitée dans le centre historique de la ville concerné par les réunions du G8, dans laquelle seuls les riverains et les personnes qui devaient y</w:t>
      </w:r>
      <w:r w:rsidR="000473C1">
        <w:rPr>
          <w:lang w:val="fr-FR"/>
        </w:rPr>
        <w:t xml:space="preserve"> </w:t>
      </w:r>
      <w:r w:rsidR="00730D47" w:rsidRPr="00730D47">
        <w:rPr>
          <w:lang w:val="fr-FR"/>
        </w:rPr>
        <w:t>travailler pouvaient pénétrer. L</w:t>
      </w:r>
      <w:r w:rsidR="00603708">
        <w:rPr>
          <w:lang w:val="fr-FR"/>
        </w:rPr>
        <w:t>’</w:t>
      </w:r>
      <w:r w:rsidR="00730D47" w:rsidRPr="00730D47">
        <w:rPr>
          <w:lang w:val="fr-FR"/>
        </w:rPr>
        <w:t>accès au port avait été interdit et l</w:t>
      </w:r>
      <w:r w:rsidR="00603708">
        <w:rPr>
          <w:lang w:val="fr-FR"/>
        </w:rPr>
        <w:t>’</w:t>
      </w:r>
      <w:r w:rsidR="00730D47" w:rsidRPr="00730D47">
        <w:rPr>
          <w:lang w:val="fr-FR"/>
        </w:rPr>
        <w:t>aéroport fermé au trafic. La zone rouge était enclavée dans une zone jaune</w:t>
      </w:r>
      <w:r w:rsidR="00F87EE1">
        <w:rPr>
          <w:lang w:val="fr-FR"/>
        </w:rPr>
        <w:t xml:space="preserve"> qui,</w:t>
      </w:r>
      <w:r w:rsidR="00730D47" w:rsidRPr="00730D47">
        <w:rPr>
          <w:lang w:val="fr-FR"/>
        </w:rPr>
        <w:t xml:space="preserve"> à son tour</w:t>
      </w:r>
      <w:r w:rsidR="00F87EE1">
        <w:rPr>
          <w:lang w:val="fr-FR"/>
        </w:rPr>
        <w:t>, était</w:t>
      </w:r>
      <w:r w:rsidR="00730D47" w:rsidRPr="00730D47">
        <w:rPr>
          <w:lang w:val="fr-FR"/>
        </w:rPr>
        <w:t xml:space="preserve"> entourée d</w:t>
      </w:r>
      <w:r w:rsidR="00603708">
        <w:rPr>
          <w:lang w:val="fr-FR"/>
        </w:rPr>
        <w:t>’</w:t>
      </w:r>
      <w:r w:rsidR="00730D47" w:rsidRPr="00730D47">
        <w:rPr>
          <w:lang w:val="fr-FR"/>
        </w:rPr>
        <w:t>une zone blanche (zone normale).</w:t>
      </w:r>
    </w:p>
    <w:p w:rsidR="00730D47" w:rsidRPr="00730D47" w:rsidRDefault="00C3797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w:t>
      </w:r>
      <w:r>
        <w:rPr>
          <w:lang w:val="fr-FR"/>
        </w:rPr>
        <w:fldChar w:fldCharType="end"/>
      </w:r>
      <w:r>
        <w:rPr>
          <w:lang w:val="fr-FR"/>
        </w:rPr>
        <w:t>.  </w:t>
      </w:r>
      <w:r w:rsidR="00730D47" w:rsidRPr="00730D47">
        <w:rPr>
          <w:lang w:val="fr-FR"/>
        </w:rPr>
        <w:t>D</w:t>
      </w:r>
      <w:r w:rsidR="00603708">
        <w:rPr>
          <w:lang w:val="fr-FR"/>
        </w:rPr>
        <w:t>’</w:t>
      </w:r>
      <w:r w:rsidR="00730D47" w:rsidRPr="00730D47">
        <w:rPr>
          <w:lang w:val="fr-FR"/>
        </w:rPr>
        <w:t>après les informations rassemblées par la préfecture de police</w:t>
      </w:r>
      <w:r w:rsidR="00730D47" w:rsidRPr="00730D47">
        <w:rPr>
          <w:i/>
          <w:lang w:val="fr-FR"/>
        </w:rPr>
        <w:t xml:space="preserve"> </w:t>
      </w:r>
      <w:r w:rsidR="00730D47" w:rsidRPr="00730D47">
        <w:rPr>
          <w:lang w:val="fr-FR"/>
        </w:rPr>
        <w:t>de Gênes jusqu</w:t>
      </w:r>
      <w:r w:rsidR="00603708">
        <w:rPr>
          <w:lang w:val="fr-FR"/>
        </w:rPr>
        <w:t>’</w:t>
      </w:r>
      <w:r w:rsidR="00730D47" w:rsidRPr="00730D47">
        <w:rPr>
          <w:lang w:val="fr-FR"/>
        </w:rPr>
        <w:t>en juillet 2001 (</w:t>
      </w:r>
      <w:r w:rsidR="00730D47" w:rsidRPr="00730D47">
        <w:rPr>
          <w:szCs w:val="24"/>
          <w:lang w:val="fr-FR"/>
        </w:rPr>
        <w:t>Rapport final de l</w:t>
      </w:r>
      <w:r w:rsidR="00603708">
        <w:rPr>
          <w:szCs w:val="24"/>
          <w:lang w:val="fr-FR"/>
        </w:rPr>
        <w:t>’</w:t>
      </w:r>
      <w:r w:rsidR="00730D47" w:rsidRPr="00730D47">
        <w:rPr>
          <w:szCs w:val="24"/>
          <w:lang w:val="fr-FR"/>
        </w:rPr>
        <w:t>enquête parlementaire, p. 23)</w:t>
      </w:r>
      <w:r w:rsidR="00730D47" w:rsidRPr="00730D47">
        <w:rPr>
          <w:lang w:val="fr-FR"/>
        </w:rPr>
        <w:t>, les divers groupes attendus dans le cadre des manifestations pouvaient, en fonction de leur dangerosité, être rapportés à divers blocs : le</w:t>
      </w:r>
      <w:r w:rsidR="00986E37">
        <w:rPr>
          <w:lang w:val="fr-FR"/>
        </w:rPr>
        <w:t> </w:t>
      </w:r>
      <w:r w:rsidR="00730D47" w:rsidRPr="00730D47">
        <w:rPr>
          <w:lang w:val="fr-FR"/>
        </w:rPr>
        <w:t>« bloc rose », non dangereux ; le « bloc jaune » et le « bloc bleu », considérés comme comprenant des auteurs potentiels d</w:t>
      </w:r>
      <w:r w:rsidR="00603708">
        <w:rPr>
          <w:lang w:val="fr-FR"/>
        </w:rPr>
        <w:t>’</w:t>
      </w:r>
      <w:r w:rsidR="00730D47" w:rsidRPr="00730D47">
        <w:rPr>
          <w:lang w:val="fr-FR"/>
        </w:rPr>
        <w:t>actes de vandalisme, de blocages de rues et de rails, et d</w:t>
      </w:r>
      <w:r w:rsidR="00603708">
        <w:rPr>
          <w:lang w:val="fr-FR"/>
        </w:rPr>
        <w:t>’</w:t>
      </w:r>
      <w:r w:rsidR="00730D47" w:rsidRPr="00730D47">
        <w:rPr>
          <w:lang w:val="fr-FR"/>
        </w:rPr>
        <w:t>affrontements avec la police ; et, enfin, le « bloc noir », dont faisaient partie plusieurs groupes anarchistes et, plus généralement, des manifestants qui, agissant cagoulés, masqués et vêtus de noir, auraient à l</w:t>
      </w:r>
      <w:r w:rsidR="00603708">
        <w:rPr>
          <w:lang w:val="fr-FR"/>
        </w:rPr>
        <w:t>’</w:t>
      </w:r>
      <w:r w:rsidR="00730D47" w:rsidRPr="00730D47">
        <w:rPr>
          <w:lang w:val="fr-FR"/>
        </w:rPr>
        <w:t>occasion d</w:t>
      </w:r>
      <w:r w:rsidR="00603708">
        <w:rPr>
          <w:lang w:val="fr-FR"/>
        </w:rPr>
        <w:t>’</w:t>
      </w:r>
      <w:r w:rsidR="00730D47" w:rsidRPr="00730D47">
        <w:rPr>
          <w:lang w:val="fr-FR"/>
        </w:rPr>
        <w:t>autres sommets systématiquement commis des saccages (« les black blocks »).</w:t>
      </w:r>
    </w:p>
    <w:p w:rsidR="00730D47" w:rsidRPr="00730D47" w:rsidRDefault="00C3797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13</w:t>
      </w:r>
      <w:r>
        <w:rPr>
          <w:lang w:val="fr-FR"/>
        </w:rPr>
        <w:fldChar w:fldCharType="end"/>
      </w:r>
      <w:r>
        <w:rPr>
          <w:lang w:val="fr-FR"/>
        </w:rPr>
        <w:t>.  </w:t>
      </w:r>
      <w:r w:rsidR="00730D47" w:rsidRPr="00730D47">
        <w:rPr>
          <w:lang w:val="fr-FR"/>
        </w:rPr>
        <w:t>Le 19 juillet</w:t>
      </w:r>
      <w:r w:rsidR="00F87EE1">
        <w:rPr>
          <w:lang w:val="fr-FR"/>
        </w:rPr>
        <w:t xml:space="preserve"> 2001</w:t>
      </w:r>
      <w:r w:rsidR="00730D47" w:rsidRPr="00730D47">
        <w:rPr>
          <w:lang w:val="fr-FR"/>
        </w:rPr>
        <w:t>, deux manifestations se déroulèrent pendant la journée sans aucun incident. Des désordres se produisirent dans la soirée (</w:t>
      </w:r>
      <w:r w:rsidR="00730D47" w:rsidRPr="00730D47">
        <w:rPr>
          <w:szCs w:val="24"/>
          <w:lang w:val="fr-FR"/>
        </w:rPr>
        <w:t>Rapport final de l</w:t>
      </w:r>
      <w:r w:rsidR="00603708">
        <w:rPr>
          <w:szCs w:val="24"/>
          <w:lang w:val="fr-FR"/>
        </w:rPr>
        <w:t>’</w:t>
      </w:r>
      <w:r w:rsidR="00730D47" w:rsidRPr="00730D47">
        <w:rPr>
          <w:szCs w:val="24"/>
          <w:lang w:val="fr-FR"/>
        </w:rPr>
        <w:t>enquête parlementaire, p. 25)</w:t>
      </w:r>
      <w:r w:rsidR="00730D47" w:rsidRPr="00730D47">
        <w:rPr>
          <w:lang w:val="fr-FR"/>
        </w:rPr>
        <w:t>.</w:t>
      </w:r>
    </w:p>
    <w:p w:rsidR="00CE6254" w:rsidRDefault="00C37976" w:rsidP="00CE625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w:t>
      </w:r>
      <w:r>
        <w:rPr>
          <w:lang w:val="fr-FR"/>
        </w:rPr>
        <w:fldChar w:fldCharType="end"/>
      </w:r>
      <w:r>
        <w:rPr>
          <w:lang w:val="fr-FR"/>
        </w:rPr>
        <w:t>.  </w:t>
      </w:r>
      <w:r w:rsidR="00730D47" w:rsidRPr="00730D47">
        <w:rPr>
          <w:lang w:val="fr-FR"/>
        </w:rPr>
        <w:t xml:space="preserve">Le 20 juillet, plusieurs manifestations étaient annoncées dans diverses zones de la ville et des rassemblements </w:t>
      </w:r>
      <w:r w:rsidR="00F87EE1" w:rsidRPr="00730D47">
        <w:rPr>
          <w:lang w:val="fr-FR"/>
        </w:rPr>
        <w:t xml:space="preserve">étaient prévus </w:t>
      </w:r>
      <w:r w:rsidR="00730D47" w:rsidRPr="00730D47">
        <w:rPr>
          <w:lang w:val="fr-FR"/>
        </w:rPr>
        <w:t>sur certaines places (« </w:t>
      </w:r>
      <w:r w:rsidR="00730D47" w:rsidRPr="00730D47">
        <w:rPr>
          <w:i/>
          <w:lang w:val="fr-FR"/>
        </w:rPr>
        <w:t>piazze tematiche</w:t>
      </w:r>
      <w:r w:rsidR="00730D47" w:rsidRPr="00730D47">
        <w:rPr>
          <w:lang w:val="fr-FR"/>
        </w:rPr>
        <w:t> »)</w:t>
      </w:r>
      <w:r w:rsidR="00730D47" w:rsidRPr="00730D47">
        <w:rPr>
          <w:i/>
          <w:lang w:val="fr-FR"/>
        </w:rPr>
        <w:t xml:space="preserve"> </w:t>
      </w:r>
      <w:r w:rsidR="00730D47" w:rsidRPr="00730D47">
        <w:rPr>
          <w:lang w:val="fr-FR"/>
        </w:rPr>
        <w:t>(</w:t>
      </w:r>
      <w:r w:rsidR="00730D47" w:rsidRPr="00730D47">
        <w:rPr>
          <w:szCs w:val="24"/>
          <w:lang w:val="fr-FR"/>
        </w:rPr>
        <w:t>Rapport final de l</w:t>
      </w:r>
      <w:r w:rsidR="00603708">
        <w:rPr>
          <w:szCs w:val="24"/>
          <w:lang w:val="fr-FR"/>
        </w:rPr>
        <w:t>’</w:t>
      </w:r>
      <w:r w:rsidR="00730D47" w:rsidRPr="00730D47">
        <w:rPr>
          <w:szCs w:val="24"/>
          <w:lang w:val="fr-FR"/>
        </w:rPr>
        <w:t>enquête parlementaire, pp.</w:t>
      </w:r>
      <w:r w:rsidR="00F82FCA">
        <w:rPr>
          <w:szCs w:val="24"/>
          <w:lang w:val="fr-FR"/>
        </w:rPr>
        <w:t> </w:t>
      </w:r>
      <w:r w:rsidR="00730D47" w:rsidRPr="00730D47">
        <w:rPr>
          <w:szCs w:val="24"/>
          <w:lang w:val="fr-FR"/>
        </w:rPr>
        <w:t>25-27)</w:t>
      </w:r>
      <w:r w:rsidR="00730D47" w:rsidRPr="00730D47">
        <w:rPr>
          <w:lang w:val="fr-FR"/>
        </w:rPr>
        <w:t>.</w:t>
      </w:r>
    </w:p>
    <w:p w:rsidR="00CE6254" w:rsidRDefault="00CE6254" w:rsidP="00CE625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w:t>
      </w:r>
      <w:r>
        <w:rPr>
          <w:lang w:val="fr-FR"/>
        </w:rPr>
        <w:fldChar w:fldCharType="end"/>
      </w:r>
      <w:r>
        <w:rPr>
          <w:lang w:val="fr-FR"/>
        </w:rPr>
        <w:t>.  </w:t>
      </w:r>
      <w:r w:rsidR="00730D47" w:rsidRPr="00730D47">
        <w:rPr>
          <w:lang w:val="fr-FR"/>
        </w:rPr>
        <w:t>Le matin du 20 juillet, les b</w:t>
      </w:r>
      <w:r w:rsidR="00730D47" w:rsidRPr="00730D47">
        <w:rPr>
          <w:rStyle w:val="ju-005fpara-002cleft-002cfirst-0020line-003a-0020-00200-0020cm--char"/>
          <w:iCs/>
          <w:lang w:val="fr-FR"/>
        </w:rPr>
        <w:t>lack blocks</w:t>
      </w:r>
      <w:r w:rsidR="00730D47" w:rsidRPr="00730D47">
        <w:rPr>
          <w:lang w:val="fr-FR"/>
        </w:rPr>
        <w:t xml:space="preserve"> provoquèrent de nombreux incidents et des accrochages avec les forces de l</w:t>
      </w:r>
      <w:r w:rsidR="00603708">
        <w:rPr>
          <w:lang w:val="fr-FR"/>
        </w:rPr>
        <w:t>’</w:t>
      </w:r>
      <w:r w:rsidR="00730D47" w:rsidRPr="00730D47">
        <w:rPr>
          <w:lang w:val="fr-FR"/>
        </w:rPr>
        <w:t>ordre, et saccagèrent des banques et des supermarchés (</w:t>
      </w:r>
      <w:r w:rsidR="00730D47" w:rsidRPr="00730D47">
        <w:rPr>
          <w:i/>
          <w:lang w:val="fr-FR"/>
        </w:rPr>
        <w:t>Giuliani et Gaggio</w:t>
      </w:r>
      <w:r w:rsidR="00730D47" w:rsidRPr="00730D47">
        <w:rPr>
          <w:lang w:val="fr-FR"/>
        </w:rPr>
        <w:t>, précité, § 17). La prison de Marassi fut attaquée et divers commissariats de police furent l</w:t>
      </w:r>
      <w:r w:rsidR="00603708">
        <w:rPr>
          <w:lang w:val="fr-FR"/>
        </w:rPr>
        <w:t>’</w:t>
      </w:r>
      <w:r w:rsidR="00730D47" w:rsidRPr="00730D47">
        <w:rPr>
          <w:lang w:val="fr-FR"/>
        </w:rPr>
        <w:t>objet d</w:t>
      </w:r>
      <w:r w:rsidR="00603708">
        <w:rPr>
          <w:lang w:val="fr-FR"/>
        </w:rPr>
        <w:t>’</w:t>
      </w:r>
      <w:r w:rsidR="00730D47" w:rsidRPr="00730D47">
        <w:rPr>
          <w:lang w:val="fr-FR"/>
        </w:rPr>
        <w:t>actes de vandalisme (</w:t>
      </w:r>
      <w:r w:rsidR="00730D47" w:rsidRPr="00730D47">
        <w:rPr>
          <w:i/>
          <w:lang w:val="fr-FR"/>
        </w:rPr>
        <w:t>Giuliani et Gaggio</w:t>
      </w:r>
      <w:r w:rsidR="00730D47" w:rsidRPr="00730D47">
        <w:rPr>
          <w:lang w:val="fr-FR"/>
        </w:rPr>
        <w:t xml:space="preserve">, précité, § 134, et </w:t>
      </w:r>
      <w:r w:rsidR="00730D47" w:rsidRPr="00730D47">
        <w:rPr>
          <w:szCs w:val="24"/>
          <w:lang w:val="fr-FR"/>
        </w:rPr>
        <w:t>Rapport final de l</w:t>
      </w:r>
      <w:r w:rsidR="00603708">
        <w:rPr>
          <w:szCs w:val="24"/>
          <w:lang w:val="fr-FR"/>
        </w:rPr>
        <w:t>’</w:t>
      </w:r>
      <w:r w:rsidR="00730D47" w:rsidRPr="00730D47">
        <w:rPr>
          <w:szCs w:val="24"/>
          <w:lang w:val="fr-FR"/>
        </w:rPr>
        <w:t>enquête parlementaire, p. 26</w:t>
      </w:r>
      <w:r w:rsidR="00730D47" w:rsidRPr="00730D47">
        <w:rPr>
          <w:lang w:val="fr-FR"/>
        </w:rPr>
        <w:t>).</w:t>
      </w:r>
    </w:p>
    <w:p w:rsidR="00730D47" w:rsidRPr="00730D47" w:rsidRDefault="00CE6254" w:rsidP="00CE625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w:t>
      </w:r>
      <w:r>
        <w:rPr>
          <w:lang w:val="fr-FR"/>
        </w:rPr>
        <w:fldChar w:fldCharType="end"/>
      </w:r>
      <w:r>
        <w:rPr>
          <w:lang w:val="fr-FR"/>
        </w:rPr>
        <w:t>.  </w:t>
      </w:r>
      <w:r w:rsidR="00730D47" w:rsidRPr="00730D47">
        <w:rPr>
          <w:lang w:val="fr-FR"/>
        </w:rPr>
        <w:t>Les black blocks provoquèrent le même type d</w:t>
      </w:r>
      <w:r w:rsidR="00603708">
        <w:rPr>
          <w:lang w:val="fr-FR"/>
        </w:rPr>
        <w:t>’</w:t>
      </w:r>
      <w:r w:rsidR="00730D47" w:rsidRPr="00730D47">
        <w:rPr>
          <w:lang w:val="fr-FR"/>
        </w:rPr>
        <w:t xml:space="preserve">incidents lors du passage dans la rue Tolemaide du cortège des </w:t>
      </w:r>
      <w:r w:rsidR="00730D47" w:rsidRPr="00730D47">
        <w:rPr>
          <w:i/>
          <w:lang w:val="fr-FR"/>
        </w:rPr>
        <w:t>Tute Bianche</w:t>
      </w:r>
      <w:r w:rsidR="00730D47" w:rsidRPr="00730D47">
        <w:rPr>
          <w:lang w:val="fr-FR"/>
        </w:rPr>
        <w:t>, un groupe susceptible d</w:t>
      </w:r>
      <w:r w:rsidR="00603708">
        <w:rPr>
          <w:lang w:val="fr-FR"/>
        </w:rPr>
        <w:t>’</w:t>
      </w:r>
      <w:r w:rsidR="00730D47" w:rsidRPr="00730D47">
        <w:rPr>
          <w:lang w:val="fr-FR"/>
        </w:rPr>
        <w:t>être rangé dans le « bloc jaune ». Ce cortège fut ensuite la cible d</w:t>
      </w:r>
      <w:r w:rsidR="00603708">
        <w:rPr>
          <w:lang w:val="fr-FR"/>
        </w:rPr>
        <w:t>’</w:t>
      </w:r>
      <w:r w:rsidR="00730D47" w:rsidRPr="00730D47">
        <w:rPr>
          <w:lang w:val="fr-FR"/>
        </w:rPr>
        <w:t>engins lacrymogènes lancés par une unité de carabiniers, qui avancèrent en faisant usage de leurs matraques ou de bâtons non réglementaires. Certains manifestants se dispersèrent, d</w:t>
      </w:r>
      <w:r w:rsidR="00603708">
        <w:rPr>
          <w:lang w:val="fr-FR"/>
        </w:rPr>
        <w:t>’</w:t>
      </w:r>
      <w:r w:rsidR="00730D47" w:rsidRPr="00730D47">
        <w:rPr>
          <w:lang w:val="fr-FR"/>
        </w:rPr>
        <w:t>autres réagirent à l</w:t>
      </w:r>
      <w:r w:rsidR="00603708">
        <w:rPr>
          <w:lang w:val="fr-FR"/>
        </w:rPr>
        <w:t>’</w:t>
      </w:r>
      <w:r w:rsidR="00730D47" w:rsidRPr="00730D47">
        <w:rPr>
          <w:lang w:val="fr-FR"/>
        </w:rPr>
        <w:t>assaut en lançant vers les forces de l</w:t>
      </w:r>
      <w:r w:rsidR="00603708">
        <w:rPr>
          <w:lang w:val="fr-FR"/>
        </w:rPr>
        <w:t>’</w:t>
      </w:r>
      <w:r w:rsidR="00730D47" w:rsidRPr="00730D47">
        <w:rPr>
          <w:lang w:val="fr-FR"/>
        </w:rPr>
        <w:t>ordre des objets contondants ; les</w:t>
      </w:r>
      <w:r w:rsidR="00986E37">
        <w:rPr>
          <w:lang w:val="fr-FR"/>
        </w:rPr>
        <w:t> </w:t>
      </w:r>
      <w:r w:rsidR="00730D47" w:rsidRPr="00730D47">
        <w:rPr>
          <w:lang w:val="fr-FR"/>
        </w:rPr>
        <w:t>véhicules des forces de l</w:t>
      </w:r>
      <w:r w:rsidR="00603708">
        <w:rPr>
          <w:lang w:val="fr-FR"/>
        </w:rPr>
        <w:t>’</w:t>
      </w:r>
      <w:r w:rsidR="00730D47" w:rsidRPr="00730D47">
        <w:rPr>
          <w:lang w:val="fr-FR"/>
        </w:rPr>
        <w:t>ordre, à leur tour, parcoururent à vive allure les lieux des accrochages, défonçant les barricades placées par les manifestants et repoussant ceux-ci. Les accrochages entre manifestants et forces de l</w:t>
      </w:r>
      <w:r w:rsidR="00603708">
        <w:rPr>
          <w:lang w:val="fr-FR"/>
        </w:rPr>
        <w:t>’</w:t>
      </w:r>
      <w:r w:rsidR="00730D47" w:rsidRPr="00730D47">
        <w:rPr>
          <w:lang w:val="fr-FR"/>
        </w:rPr>
        <w:t>ordre se poursuivirent dans les alentours (</w:t>
      </w:r>
      <w:r w:rsidR="00730D47" w:rsidRPr="00730D47">
        <w:rPr>
          <w:i/>
          <w:lang w:val="fr-FR"/>
        </w:rPr>
        <w:t>Giuliani et Gaggio</w:t>
      </w:r>
      <w:r w:rsidR="00730D47" w:rsidRPr="00730D47">
        <w:rPr>
          <w:lang w:val="fr-FR"/>
        </w:rPr>
        <w:t>, précité, §§ 17-20, 126-127</w:t>
      </w:r>
      <w:r w:rsidR="00F87EE1">
        <w:rPr>
          <w:lang w:val="fr-FR"/>
        </w:rPr>
        <w:t xml:space="preserve"> et</w:t>
      </w:r>
      <w:r w:rsidR="00730D47" w:rsidRPr="00730D47">
        <w:rPr>
          <w:lang w:val="fr-FR"/>
        </w:rPr>
        <w:t xml:space="preserve"> 136).</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w:t>
      </w:r>
      <w:r>
        <w:rPr>
          <w:lang w:val="fr-FR"/>
        </w:rPr>
        <w:fldChar w:fldCharType="end"/>
      </w:r>
      <w:r>
        <w:rPr>
          <w:lang w:val="fr-FR"/>
        </w:rPr>
        <w:t>.  </w:t>
      </w:r>
      <w:r w:rsidR="00730D47" w:rsidRPr="00730D47">
        <w:rPr>
          <w:lang w:val="fr-FR"/>
        </w:rPr>
        <w:t>Des heurts similaires se produisirent vers 15 heures, place Manin (</w:t>
      </w:r>
      <w:r w:rsidR="00730D47" w:rsidRPr="00730D47">
        <w:rPr>
          <w:szCs w:val="24"/>
          <w:lang w:val="fr-FR"/>
        </w:rPr>
        <w:t>Rapport final de l</w:t>
      </w:r>
      <w:r w:rsidR="00603708">
        <w:rPr>
          <w:szCs w:val="24"/>
          <w:lang w:val="fr-FR"/>
        </w:rPr>
        <w:t>’</w:t>
      </w:r>
      <w:r w:rsidR="00730D47" w:rsidRPr="00730D47">
        <w:rPr>
          <w:szCs w:val="24"/>
          <w:lang w:val="fr-FR"/>
        </w:rPr>
        <w:t>enquête parlementaire, p. 26)</w:t>
      </w:r>
      <w:r w:rsidR="00730D47" w:rsidRPr="00730D47">
        <w:rPr>
          <w:lang w:val="fr-FR"/>
        </w:rPr>
        <w:t>.</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w:t>
      </w:r>
      <w:r>
        <w:rPr>
          <w:lang w:val="fr-FR"/>
        </w:rPr>
        <w:fldChar w:fldCharType="end"/>
      </w:r>
      <w:r>
        <w:rPr>
          <w:lang w:val="fr-FR"/>
        </w:rPr>
        <w:t>.  </w:t>
      </w:r>
      <w:r w:rsidR="00F82FCA">
        <w:rPr>
          <w:lang w:val="fr-FR"/>
        </w:rPr>
        <w:t>Vers 17</w:t>
      </w:r>
      <w:r w:rsidR="00730D47" w:rsidRPr="00730D47">
        <w:rPr>
          <w:lang w:val="fr-FR"/>
        </w:rPr>
        <w:t>h20, au cours d</w:t>
      </w:r>
      <w:r w:rsidR="00603708">
        <w:rPr>
          <w:lang w:val="fr-FR"/>
        </w:rPr>
        <w:t>’</w:t>
      </w:r>
      <w:r w:rsidR="00730D47" w:rsidRPr="00730D47">
        <w:rPr>
          <w:lang w:val="fr-FR"/>
        </w:rPr>
        <w:t>un accrochage place Alimonda, Carlo</w:t>
      </w:r>
      <w:r w:rsidR="00986E37">
        <w:rPr>
          <w:lang w:val="fr-FR"/>
        </w:rPr>
        <w:t> </w:t>
      </w:r>
      <w:r w:rsidR="00730D47" w:rsidRPr="00730D47">
        <w:rPr>
          <w:lang w:val="fr-FR"/>
        </w:rPr>
        <w:t>Giuliani, un jeune manifestant, fut atteint par un coup de feu provenant d</w:t>
      </w:r>
      <w:r w:rsidR="00603708">
        <w:rPr>
          <w:lang w:val="fr-FR"/>
        </w:rPr>
        <w:t>’</w:t>
      </w:r>
      <w:r w:rsidR="00730D47" w:rsidRPr="00730D47">
        <w:rPr>
          <w:lang w:val="fr-FR"/>
        </w:rPr>
        <w:t>une jeep de carabiniers qui tentaient d</w:t>
      </w:r>
      <w:r w:rsidR="00603708">
        <w:rPr>
          <w:lang w:val="fr-FR"/>
        </w:rPr>
        <w:t>’</w:t>
      </w:r>
      <w:r w:rsidR="00730D47" w:rsidRPr="00730D47">
        <w:rPr>
          <w:lang w:val="fr-FR"/>
        </w:rPr>
        <w:t>échapper à des manifestants (</w:t>
      </w:r>
      <w:r w:rsidR="00730D47" w:rsidRPr="00730D47">
        <w:rPr>
          <w:i/>
          <w:lang w:val="fr-FR"/>
        </w:rPr>
        <w:t>Giuliani et Gaggio</w:t>
      </w:r>
      <w:r w:rsidR="00730D47" w:rsidRPr="00730D47">
        <w:rPr>
          <w:lang w:val="fr-FR"/>
        </w:rPr>
        <w:t>, précité, §§ 21-25).</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w:t>
      </w:r>
      <w:r>
        <w:rPr>
          <w:lang w:val="fr-FR"/>
        </w:rPr>
        <w:fldChar w:fldCharType="end"/>
      </w:r>
      <w:r>
        <w:rPr>
          <w:lang w:val="fr-FR"/>
        </w:rPr>
        <w:t>.  </w:t>
      </w:r>
      <w:r w:rsidR="00730D47" w:rsidRPr="00730D47">
        <w:rPr>
          <w:lang w:val="fr-FR"/>
        </w:rPr>
        <w:t xml:space="preserve">Le 21 juillet, la manifestation finale des altermondialistes eut lieu ; environ </w:t>
      </w:r>
      <w:r w:rsidR="00F87EE1">
        <w:rPr>
          <w:lang w:val="fr-FR"/>
        </w:rPr>
        <w:t>100 000</w:t>
      </w:r>
      <w:r w:rsidR="00730D47" w:rsidRPr="00730D47">
        <w:rPr>
          <w:lang w:val="fr-FR"/>
        </w:rPr>
        <w:t xml:space="preserve"> personnes y participèrent (</w:t>
      </w:r>
      <w:r w:rsidR="00730D47" w:rsidRPr="00730D47">
        <w:rPr>
          <w:i/>
          <w:lang w:val="fr-FR"/>
        </w:rPr>
        <w:t>Giuliani et Gaggio</w:t>
      </w:r>
      <w:r w:rsidR="00730D47" w:rsidRPr="00730D47">
        <w:rPr>
          <w:lang w:val="fr-FR"/>
        </w:rPr>
        <w:t>, précité, § 114).</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w:t>
      </w:r>
      <w:r>
        <w:rPr>
          <w:lang w:val="fr-FR"/>
        </w:rPr>
        <w:fldChar w:fldCharType="end"/>
      </w:r>
      <w:r>
        <w:rPr>
          <w:lang w:val="fr-FR"/>
        </w:rPr>
        <w:t>.  </w:t>
      </w:r>
      <w:r w:rsidR="00730D47" w:rsidRPr="00730D47">
        <w:rPr>
          <w:lang w:val="fr-FR"/>
        </w:rPr>
        <w:t>Les saccages et les dévastations commencèrent le matin et se poursuivirent dans la ville tout au long de la journée. Au début de l</w:t>
      </w:r>
      <w:r w:rsidR="00603708">
        <w:rPr>
          <w:lang w:val="fr-FR"/>
        </w:rPr>
        <w:t>’</w:t>
      </w:r>
      <w:r w:rsidR="00730D47" w:rsidRPr="00730D47">
        <w:rPr>
          <w:lang w:val="fr-FR"/>
        </w:rPr>
        <w:t>après-midi, la tête du cortège rencontra sur son parcours un groupe d</w:t>
      </w:r>
      <w:r w:rsidR="00603708">
        <w:rPr>
          <w:lang w:val="fr-FR"/>
        </w:rPr>
        <w:t>’</w:t>
      </w:r>
      <w:r w:rsidR="00730D47" w:rsidRPr="00730D47">
        <w:rPr>
          <w:lang w:val="fr-FR"/>
        </w:rPr>
        <w:t>une centaine de personnes qui se tenaient face aux forces de l</w:t>
      </w:r>
      <w:r w:rsidR="00603708">
        <w:rPr>
          <w:lang w:val="fr-FR"/>
        </w:rPr>
        <w:t>’</w:t>
      </w:r>
      <w:r w:rsidR="00730D47" w:rsidRPr="00730D47">
        <w:rPr>
          <w:lang w:val="fr-FR"/>
        </w:rPr>
        <w:t>ordre. De nouveaux accrochages éclatèrent, avec projection de gaz lacrymogène et charges des forces de l</w:t>
      </w:r>
      <w:r w:rsidR="00603708">
        <w:rPr>
          <w:lang w:val="fr-FR"/>
        </w:rPr>
        <w:t>’</w:t>
      </w:r>
      <w:r w:rsidR="00730D47" w:rsidRPr="00730D47">
        <w:rPr>
          <w:lang w:val="fr-FR"/>
        </w:rPr>
        <w:t>ordre, auxquels le cortège fut mêlé (</w:t>
      </w:r>
      <w:r w:rsidR="00730D47" w:rsidRPr="00730D47">
        <w:rPr>
          <w:szCs w:val="24"/>
          <w:lang w:val="fr-FR"/>
        </w:rPr>
        <w:t>Rapport final de l</w:t>
      </w:r>
      <w:r w:rsidR="00603708">
        <w:rPr>
          <w:szCs w:val="24"/>
          <w:lang w:val="fr-FR"/>
        </w:rPr>
        <w:t>’</w:t>
      </w:r>
      <w:r w:rsidR="00730D47" w:rsidRPr="00730D47">
        <w:rPr>
          <w:szCs w:val="24"/>
          <w:lang w:val="fr-FR"/>
        </w:rPr>
        <w:t>enquête parlementaire, pp. 27-28)</w:t>
      </w:r>
      <w:r w:rsidR="00730D47" w:rsidRPr="00730D47">
        <w:rPr>
          <w:lang w:val="fr-FR"/>
        </w:rPr>
        <w:t>.</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w:t>
      </w:r>
      <w:r>
        <w:rPr>
          <w:lang w:val="fr-FR"/>
        </w:rPr>
        <w:fldChar w:fldCharType="end"/>
      </w:r>
      <w:r>
        <w:rPr>
          <w:lang w:val="fr-FR"/>
        </w:rPr>
        <w:t>.  </w:t>
      </w:r>
      <w:r w:rsidR="00730D47" w:rsidRPr="00730D47">
        <w:rPr>
          <w:lang w:val="fr-FR"/>
        </w:rPr>
        <w:t>Au cours des deux jours d</w:t>
      </w:r>
      <w:r w:rsidR="00603708">
        <w:rPr>
          <w:lang w:val="fr-FR"/>
        </w:rPr>
        <w:t>’</w:t>
      </w:r>
      <w:r w:rsidR="00730D47" w:rsidRPr="00730D47">
        <w:rPr>
          <w:lang w:val="fr-FR"/>
        </w:rPr>
        <w:t>incidents, plusieurs centaines de manifestants et de membres des forces de l</w:t>
      </w:r>
      <w:r w:rsidR="00603708">
        <w:rPr>
          <w:lang w:val="fr-FR"/>
        </w:rPr>
        <w:t>’</w:t>
      </w:r>
      <w:r w:rsidR="00730D47" w:rsidRPr="00730D47">
        <w:rPr>
          <w:lang w:val="fr-FR"/>
        </w:rPr>
        <w:t>ordre furent blessés ou intoxiqués par les gaz lacrymogènes. Des quartiers entiers de la ville de Gênes furent dévastés.</w:t>
      </w:r>
    </w:p>
    <w:p w:rsidR="00730D47" w:rsidRPr="00730D47" w:rsidRDefault="0062661A" w:rsidP="0062661A">
      <w:pPr>
        <w:pStyle w:val="ECHRHeading2"/>
        <w:rPr>
          <w:lang w:val="fr-FR"/>
        </w:rPr>
      </w:pPr>
      <w:r>
        <w:rPr>
          <w:lang w:val="fr-FR"/>
        </w:rPr>
        <w:t>B</w:t>
      </w:r>
      <w:r w:rsidR="00730D47" w:rsidRPr="00730D47">
        <w:rPr>
          <w:lang w:val="fr-FR"/>
        </w:rPr>
        <w:t>.  La constitution d</w:t>
      </w:r>
      <w:r w:rsidR="00603708">
        <w:rPr>
          <w:lang w:val="fr-FR"/>
        </w:rPr>
        <w:t>’</w:t>
      </w:r>
      <w:r w:rsidR="00730D47" w:rsidRPr="00730D47">
        <w:rPr>
          <w:lang w:val="fr-FR"/>
        </w:rPr>
        <w:t>unités spéciales de forces de l</w:t>
      </w:r>
      <w:r w:rsidR="00603708">
        <w:rPr>
          <w:lang w:val="fr-FR"/>
        </w:rPr>
        <w:t>’</w:t>
      </w:r>
      <w:r w:rsidR="00730D47" w:rsidRPr="00730D47">
        <w:rPr>
          <w:lang w:val="fr-FR"/>
        </w:rPr>
        <w:t>ordre afin d</w:t>
      </w:r>
      <w:r w:rsidR="00603708">
        <w:rPr>
          <w:lang w:val="fr-FR"/>
        </w:rPr>
        <w:t>’</w:t>
      </w:r>
      <w:r w:rsidR="00730D47" w:rsidRPr="00730D47">
        <w:rPr>
          <w:lang w:val="fr-FR"/>
        </w:rPr>
        <w:t>arrêter les black blocks</w:t>
      </w:r>
    </w:p>
    <w:p w:rsidR="00730D47" w:rsidRPr="00730D47" w:rsidRDefault="0062661A" w:rsidP="00730D47">
      <w:pPr>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w:t>
      </w:r>
      <w:r>
        <w:rPr>
          <w:lang w:val="fr-FR"/>
        </w:rPr>
        <w:fldChar w:fldCharType="end"/>
      </w:r>
      <w:r>
        <w:rPr>
          <w:lang w:val="fr-FR"/>
        </w:rPr>
        <w:t>.  </w:t>
      </w:r>
      <w:r w:rsidR="00730D47" w:rsidRPr="00730D47">
        <w:rPr>
          <w:lang w:val="fr-FR"/>
        </w:rPr>
        <w:t>Le matin du 21 juillet</w:t>
      </w:r>
      <w:r w:rsidR="00D324BC">
        <w:rPr>
          <w:lang w:val="fr-FR"/>
        </w:rPr>
        <w:t xml:space="preserve"> 2001</w:t>
      </w:r>
      <w:r w:rsidR="00730D47" w:rsidRPr="00730D47">
        <w:rPr>
          <w:lang w:val="fr-FR"/>
        </w:rPr>
        <w:t>, le chef de la police ordonna au préfet A., chef adjoint de la police et chef de la structure plénipotentiaire, de confier la direction d</w:t>
      </w:r>
      <w:r w:rsidR="00603708">
        <w:rPr>
          <w:lang w:val="fr-FR"/>
        </w:rPr>
        <w:t>’</w:t>
      </w:r>
      <w:r w:rsidR="00730D47" w:rsidRPr="00730D47">
        <w:rPr>
          <w:lang w:val="fr-FR"/>
        </w:rPr>
        <w:t>une perquisition de l</w:t>
      </w:r>
      <w:r w:rsidR="00603708">
        <w:rPr>
          <w:lang w:val="fr-FR"/>
        </w:rPr>
        <w:t>’</w:t>
      </w:r>
      <w:r w:rsidR="00730D47" w:rsidRPr="00730D47">
        <w:rPr>
          <w:lang w:val="fr-FR"/>
        </w:rPr>
        <w:t>école Paul Klee à M.G., chef du service central opérationnel de la police criminelle (« SCO ») (voir l</w:t>
      </w:r>
      <w:r w:rsidR="00603708">
        <w:rPr>
          <w:lang w:val="fr-FR"/>
        </w:rPr>
        <w:t>’</w:t>
      </w:r>
      <w:r w:rsidR="00730D47" w:rsidRPr="00730D47">
        <w:rPr>
          <w:szCs w:val="24"/>
          <w:lang w:val="fr-FR"/>
        </w:rPr>
        <w:t>arrêt n</w:t>
      </w:r>
      <w:r w:rsidR="00730D47" w:rsidRPr="00730D47">
        <w:rPr>
          <w:szCs w:val="24"/>
          <w:vertAlign w:val="superscript"/>
          <w:lang w:val="fr-FR"/>
        </w:rPr>
        <w:t>o</w:t>
      </w:r>
      <w:r w:rsidR="00730D47" w:rsidRPr="00730D47">
        <w:rPr>
          <w:szCs w:val="24"/>
          <w:lang w:val="fr-FR"/>
        </w:rPr>
        <w:t> 1530/2010 de la cour d</w:t>
      </w:r>
      <w:r w:rsidR="00603708">
        <w:rPr>
          <w:szCs w:val="24"/>
          <w:lang w:val="fr-FR"/>
        </w:rPr>
        <w:t>’</w:t>
      </w:r>
      <w:r w:rsidR="00730D47" w:rsidRPr="00730D47">
        <w:rPr>
          <w:szCs w:val="24"/>
          <w:lang w:val="fr-FR"/>
        </w:rPr>
        <w:t>appel de Gênes du 18 mai 2010 (« l</w:t>
      </w:r>
      <w:r w:rsidR="00603708">
        <w:rPr>
          <w:szCs w:val="24"/>
          <w:lang w:val="fr-FR"/>
        </w:rPr>
        <w:t>’</w:t>
      </w:r>
      <w:r w:rsidR="00730D47" w:rsidRPr="00730D47">
        <w:rPr>
          <w:szCs w:val="24"/>
          <w:lang w:val="fr-FR"/>
        </w:rPr>
        <w:t>arrêt</w:t>
      </w:r>
      <w:r w:rsidR="00650F9B">
        <w:rPr>
          <w:szCs w:val="24"/>
          <w:lang w:val="fr-FR"/>
        </w:rPr>
        <w:t> </w:t>
      </w:r>
      <w:r w:rsidR="00730D47" w:rsidRPr="00730D47">
        <w:rPr>
          <w:szCs w:val="24"/>
          <w:lang w:val="fr-FR"/>
        </w:rPr>
        <w:t>d</w:t>
      </w:r>
      <w:r w:rsidR="00603708">
        <w:rPr>
          <w:szCs w:val="24"/>
          <w:lang w:val="fr-FR"/>
        </w:rPr>
        <w:t>’</w:t>
      </w:r>
      <w:r w:rsidR="00730D47" w:rsidRPr="00730D47">
        <w:rPr>
          <w:szCs w:val="24"/>
          <w:lang w:val="fr-FR"/>
        </w:rPr>
        <w:t>appel »), p. 194)</w:t>
      </w:r>
      <w:r w:rsidR="00730D47" w:rsidRPr="00730D47">
        <w:rPr>
          <w:lang w:val="fr-FR"/>
        </w:rPr>
        <w:t>. Une vingtaine de personnes furent arrêtées à l</w:t>
      </w:r>
      <w:r w:rsidR="00603708">
        <w:rPr>
          <w:lang w:val="fr-FR"/>
        </w:rPr>
        <w:t>’</w:t>
      </w:r>
      <w:r w:rsidR="00730D47" w:rsidRPr="00730D47">
        <w:rPr>
          <w:lang w:val="fr-FR"/>
        </w:rPr>
        <w:t>issue de cette opération, mais elles furent immédiatement remises en liberté sur ordre du parquet ou du juge des investigations préliminaires (</w:t>
      </w:r>
      <w:r w:rsidR="00730D47" w:rsidRPr="00730D47">
        <w:rPr>
          <w:szCs w:val="24"/>
          <w:lang w:val="fr-FR"/>
        </w:rPr>
        <w:t>arrêt d</w:t>
      </w:r>
      <w:r w:rsidR="00603708">
        <w:rPr>
          <w:szCs w:val="24"/>
          <w:lang w:val="fr-FR"/>
        </w:rPr>
        <w:t>’</w:t>
      </w:r>
      <w:r w:rsidR="00730D47" w:rsidRPr="00730D47">
        <w:rPr>
          <w:szCs w:val="24"/>
          <w:lang w:val="fr-FR"/>
        </w:rPr>
        <w:t>appel, p. 196)</w:t>
      </w:r>
      <w:r w:rsidR="00730D47" w:rsidRPr="00730D47">
        <w:rPr>
          <w:lang w:val="fr-FR"/>
        </w:rPr>
        <w:t>.</w:t>
      </w:r>
    </w:p>
    <w:p w:rsidR="00730D47" w:rsidRPr="00730D47" w:rsidRDefault="0062661A" w:rsidP="00730D47">
      <w:pPr>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23</w:t>
      </w:r>
      <w:r>
        <w:rPr>
          <w:lang w:val="fr-FR"/>
        </w:rPr>
        <w:fldChar w:fldCharType="end"/>
      </w:r>
      <w:r>
        <w:rPr>
          <w:lang w:val="fr-FR"/>
        </w:rPr>
        <w:t>.  </w:t>
      </w:r>
      <w:r w:rsidR="00730D47" w:rsidRPr="00730D47">
        <w:rPr>
          <w:lang w:val="fr-FR"/>
        </w:rPr>
        <w:t>Il ressort des déclarations du préfet A. devant le tribunal de Gênes que l</w:t>
      </w:r>
      <w:r w:rsidR="00603708">
        <w:rPr>
          <w:lang w:val="fr-FR"/>
        </w:rPr>
        <w:t>’</w:t>
      </w:r>
      <w:r w:rsidR="00730D47" w:rsidRPr="00730D47">
        <w:rPr>
          <w:lang w:val="fr-FR"/>
        </w:rPr>
        <w:t>ordre du chef de la police s</w:t>
      </w:r>
      <w:r w:rsidR="00603708">
        <w:rPr>
          <w:lang w:val="fr-FR"/>
        </w:rPr>
        <w:t>’</w:t>
      </w:r>
      <w:r w:rsidR="00730D47" w:rsidRPr="00730D47">
        <w:rPr>
          <w:lang w:val="fr-FR"/>
        </w:rPr>
        <w:t>expliquait par sa volonté de passer à une ligne de conduite plus « incisive » devant aboutir à des arrestations afin d</w:t>
      </w:r>
      <w:r w:rsidR="00603708">
        <w:rPr>
          <w:lang w:val="fr-FR"/>
        </w:rPr>
        <w:t>’</w:t>
      </w:r>
      <w:r w:rsidR="00730D47" w:rsidRPr="00730D47">
        <w:rPr>
          <w:lang w:val="fr-FR"/>
        </w:rPr>
        <w:t>effacer l</w:t>
      </w:r>
      <w:r w:rsidR="00603708">
        <w:rPr>
          <w:lang w:val="fr-FR"/>
        </w:rPr>
        <w:t>’</w:t>
      </w:r>
      <w:r w:rsidR="00730D47" w:rsidRPr="00730D47">
        <w:rPr>
          <w:lang w:val="fr-FR"/>
        </w:rPr>
        <w:t xml:space="preserve">impression que la police était restée </w:t>
      </w:r>
      <w:r w:rsidR="00D324BC">
        <w:rPr>
          <w:lang w:val="fr-FR"/>
        </w:rPr>
        <w:t>sans réaction</w:t>
      </w:r>
      <w:r w:rsidR="00D324BC" w:rsidRPr="00730D47">
        <w:rPr>
          <w:lang w:val="fr-FR"/>
        </w:rPr>
        <w:t xml:space="preserve"> </w:t>
      </w:r>
      <w:r w:rsidR="00730D47" w:rsidRPr="00730D47">
        <w:rPr>
          <w:lang w:val="fr-FR"/>
        </w:rPr>
        <w:t>devant les saccages et les dévastations commis dans la ville. Le chef de la police aurait souhaité la constitution de grandes patrouilles mixtes, placées sous la direction de fonctionnaires des unités mobiles et du SCO et coordonnées par des fonctionnaires ayant sa confiance, et ce dans le but d</w:t>
      </w:r>
      <w:r w:rsidR="00603708">
        <w:rPr>
          <w:lang w:val="fr-FR"/>
        </w:rPr>
        <w:t>’</w:t>
      </w:r>
      <w:r w:rsidR="00730D47" w:rsidRPr="00730D47">
        <w:rPr>
          <w:lang w:val="fr-FR"/>
        </w:rPr>
        <w:t xml:space="preserve">arrêter les black blocks (voir le </w:t>
      </w:r>
      <w:r w:rsidR="00730D47" w:rsidRPr="00730D47">
        <w:rPr>
          <w:szCs w:val="24"/>
          <w:lang w:val="fr-FR"/>
        </w:rPr>
        <w:t>jugement n</w:t>
      </w:r>
      <w:r w:rsidR="00730D47" w:rsidRPr="00730D47">
        <w:rPr>
          <w:szCs w:val="24"/>
          <w:vertAlign w:val="superscript"/>
          <w:lang w:val="fr-FR"/>
        </w:rPr>
        <w:t>o</w:t>
      </w:r>
      <w:r w:rsidR="00730D47" w:rsidRPr="00730D47">
        <w:rPr>
          <w:szCs w:val="24"/>
          <w:lang w:val="fr-FR"/>
        </w:rPr>
        <w:t xml:space="preserve"> 4252/08 du tribunal de Gênes, rendu le 13</w:t>
      </w:r>
      <w:r w:rsidR="00650F9B">
        <w:rPr>
          <w:szCs w:val="24"/>
          <w:lang w:val="fr-FR"/>
        </w:rPr>
        <w:t> </w:t>
      </w:r>
      <w:r w:rsidR="00730D47" w:rsidRPr="00730D47">
        <w:rPr>
          <w:szCs w:val="24"/>
          <w:lang w:val="fr-FR"/>
        </w:rPr>
        <w:t xml:space="preserve">novembre 2008 et déposé le 11 février 2009 (« le jugement de première instance »), p. 243 ; voir aussi </w:t>
      </w:r>
      <w:r w:rsidR="00730D47" w:rsidRPr="00730D47">
        <w:rPr>
          <w:lang w:val="fr-FR"/>
        </w:rPr>
        <w:t>l</w:t>
      </w:r>
      <w:r w:rsidR="00603708">
        <w:rPr>
          <w:lang w:val="fr-FR"/>
        </w:rPr>
        <w:t>’</w:t>
      </w:r>
      <w:r w:rsidR="00730D47" w:rsidRPr="00730D47">
        <w:rPr>
          <w:lang w:val="fr-FR"/>
        </w:rPr>
        <w:t>arrêt n</w:t>
      </w:r>
      <w:r w:rsidR="00730D47" w:rsidRPr="0062661A">
        <w:rPr>
          <w:vertAlign w:val="superscript"/>
          <w:lang w:val="fr-FR"/>
        </w:rPr>
        <w:t>o</w:t>
      </w:r>
      <w:r w:rsidR="00730D47" w:rsidRPr="00730D47">
        <w:rPr>
          <w:lang w:val="fr-FR"/>
        </w:rPr>
        <w:t xml:space="preserve"> 38085/12 de la Cour de cassation du 5 juillet 2012, déposé le 2 octobre 2012 (« l</w:t>
      </w:r>
      <w:r w:rsidR="00603708">
        <w:rPr>
          <w:lang w:val="fr-FR"/>
        </w:rPr>
        <w:t>’</w:t>
      </w:r>
      <w:r w:rsidR="00730D47" w:rsidRPr="00730D47">
        <w:rPr>
          <w:lang w:val="fr-FR"/>
        </w:rPr>
        <w:t>arrêt de la Cour de cassation »), pp. 121</w:t>
      </w:r>
      <w:r w:rsidR="00730D47" w:rsidRPr="00730D47">
        <w:rPr>
          <w:lang w:val="fr-FR"/>
        </w:rPr>
        <w:noBreakHyphen/>
        <w:t>122).</w:t>
      </w:r>
    </w:p>
    <w:p w:rsidR="00730D47" w:rsidRPr="00730D47" w:rsidRDefault="0062661A" w:rsidP="00730D47">
      <w:pPr>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w:t>
      </w:r>
      <w:r>
        <w:rPr>
          <w:lang w:val="fr-FR"/>
        </w:rPr>
        <w:fldChar w:fldCharType="end"/>
      </w:r>
      <w:r>
        <w:rPr>
          <w:lang w:val="fr-FR"/>
        </w:rPr>
        <w:t>.  </w:t>
      </w:r>
      <w:r w:rsidR="00730D47" w:rsidRPr="00730D47">
        <w:rPr>
          <w:lang w:val="fr-FR"/>
        </w:rPr>
        <w:t>Le 21 juillet, à 19 h 30, M.G. ordonna à M.M., chef de la division des enquêtes générales et des opérations spéciales (DIGOS) de Gênes, de mettre à disposition des agents de son unité afin que fussent formées, avec d</w:t>
      </w:r>
      <w:r w:rsidR="00603708">
        <w:rPr>
          <w:lang w:val="fr-FR"/>
        </w:rPr>
        <w:t>’</w:t>
      </w:r>
      <w:r w:rsidR="00730D47" w:rsidRPr="00730D47">
        <w:rPr>
          <w:lang w:val="fr-FR"/>
        </w:rPr>
        <w:t>autres agents de l</w:t>
      </w:r>
      <w:r w:rsidR="00603708">
        <w:rPr>
          <w:lang w:val="fr-FR"/>
        </w:rPr>
        <w:t>’</w:t>
      </w:r>
      <w:r w:rsidR="00730D47" w:rsidRPr="00730D47">
        <w:rPr>
          <w:lang w:val="fr-FR"/>
        </w:rPr>
        <w:t>unité mobile de Gênes et du SCO, les patrouilles mixtes (</w:t>
      </w:r>
      <w:r w:rsidR="00730D47" w:rsidRPr="00730D47">
        <w:rPr>
          <w:szCs w:val="24"/>
          <w:lang w:val="fr-FR"/>
        </w:rPr>
        <w:t>Rapport final de l</w:t>
      </w:r>
      <w:r w:rsidR="00603708">
        <w:rPr>
          <w:szCs w:val="24"/>
          <w:lang w:val="fr-FR"/>
        </w:rPr>
        <w:t>’</w:t>
      </w:r>
      <w:r w:rsidR="00730D47" w:rsidRPr="00730D47">
        <w:rPr>
          <w:szCs w:val="24"/>
          <w:lang w:val="fr-FR"/>
        </w:rPr>
        <w:t>enquête parlementaire, p. 29)</w:t>
      </w:r>
      <w:r w:rsidR="00730D47" w:rsidRPr="00730D47">
        <w:rPr>
          <w:lang w:val="fr-FR"/>
        </w:rPr>
        <w:t>.</w:t>
      </w:r>
    </w:p>
    <w:p w:rsidR="00730D47" w:rsidRPr="00730D47" w:rsidRDefault="009C06F2" w:rsidP="009C06F2">
      <w:pPr>
        <w:pStyle w:val="ECHRHeading2"/>
        <w:rPr>
          <w:lang w:val="fr-FR"/>
        </w:rPr>
      </w:pPr>
      <w:r>
        <w:rPr>
          <w:lang w:val="fr-FR"/>
        </w:rPr>
        <w:t>C</w:t>
      </w:r>
      <w:r w:rsidR="00730D47" w:rsidRPr="00730D47">
        <w:rPr>
          <w:lang w:val="fr-FR"/>
        </w:rPr>
        <w:t>.  Les faits ayant précédé l</w:t>
      </w:r>
      <w:r w:rsidR="00603708">
        <w:rPr>
          <w:lang w:val="fr-FR"/>
        </w:rPr>
        <w:t>’</w:t>
      </w:r>
      <w:r w:rsidR="00730D47" w:rsidRPr="00730D47">
        <w:rPr>
          <w:lang w:val="fr-FR"/>
        </w:rPr>
        <w:t>irruption de la police dans les écoles Diaz</w:t>
      </w:r>
      <w:r w:rsidR="00730D47" w:rsidRPr="00730D47">
        <w:rPr>
          <w:lang w:val="fr-FR"/>
        </w:rPr>
        <w:noBreakHyphen/>
        <w:t>Pertini et Diaz-Pascoli</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25</w:t>
      </w:r>
      <w:r>
        <w:rPr>
          <w:lang w:val="fr-FR"/>
        </w:rPr>
        <w:fldChar w:fldCharType="end"/>
      </w:r>
      <w:r>
        <w:rPr>
          <w:lang w:val="fr-FR"/>
        </w:rPr>
        <w:t>.  </w:t>
      </w:r>
      <w:r w:rsidR="00730D47" w:rsidRPr="00730D47">
        <w:rPr>
          <w:lang w:val="fr-FR"/>
        </w:rPr>
        <w:t>La municipalité de Gênes avait mis à la disposition du GSF, entre autres, les locaux de deux écoles adjacentes, situées dans la rue Cesare Battisti, pour qu</w:t>
      </w:r>
      <w:r w:rsidR="00603708">
        <w:rPr>
          <w:lang w:val="fr-FR"/>
        </w:rPr>
        <w:t>’</w:t>
      </w:r>
      <w:r w:rsidR="00730D47" w:rsidRPr="00730D47">
        <w:rPr>
          <w:lang w:val="fr-FR"/>
        </w:rPr>
        <w:t>un centre multimédia pût y être installé. En particulier, l</w:t>
      </w:r>
      <w:r w:rsidR="00603708">
        <w:rPr>
          <w:lang w:val="fr-FR"/>
        </w:rPr>
        <w:t>’</w:t>
      </w:r>
      <w:r w:rsidR="00730D47" w:rsidRPr="00730D47">
        <w:rPr>
          <w:lang w:val="fr-FR"/>
        </w:rPr>
        <w:t>école Diaz-Pascoli (« Pascoli ») abritait une unité de presse et des bureaux provisoires d</w:t>
      </w:r>
      <w:r w:rsidR="00603708">
        <w:rPr>
          <w:lang w:val="fr-FR"/>
        </w:rPr>
        <w:t>’</w:t>
      </w:r>
      <w:r w:rsidR="00730D47" w:rsidRPr="00730D47">
        <w:rPr>
          <w:lang w:val="fr-FR"/>
        </w:rPr>
        <w:t>avocats ; l</w:t>
      </w:r>
      <w:r w:rsidR="00603708">
        <w:rPr>
          <w:lang w:val="fr-FR"/>
        </w:rPr>
        <w:t>’</w:t>
      </w:r>
      <w:r w:rsidR="00730D47" w:rsidRPr="00730D47">
        <w:rPr>
          <w:lang w:val="fr-FR"/>
        </w:rPr>
        <w:t>école Diaz-Pertini abritait quant à elle un point d</w:t>
      </w:r>
      <w:r w:rsidR="00603708">
        <w:rPr>
          <w:lang w:val="fr-FR"/>
        </w:rPr>
        <w:t>’</w:t>
      </w:r>
      <w:r w:rsidR="00730D47" w:rsidRPr="00730D47">
        <w:rPr>
          <w:lang w:val="fr-FR"/>
        </w:rPr>
        <w:t xml:space="preserve">accès à Internet. </w:t>
      </w:r>
      <w:r w:rsidRPr="00730D47">
        <w:rPr>
          <w:lang w:val="fr-FR"/>
        </w:rPr>
        <w:t>À</w:t>
      </w:r>
      <w:r w:rsidR="00730D47" w:rsidRPr="00730D47">
        <w:rPr>
          <w:lang w:val="fr-FR"/>
        </w:rPr>
        <w:t xml:space="preserve"> la suite des orages qui s</w:t>
      </w:r>
      <w:r w:rsidR="00603708">
        <w:rPr>
          <w:lang w:val="fr-FR"/>
        </w:rPr>
        <w:t>’</w:t>
      </w:r>
      <w:r w:rsidR="00730D47" w:rsidRPr="00730D47">
        <w:rPr>
          <w:lang w:val="fr-FR"/>
        </w:rPr>
        <w:t xml:space="preserve">étaient abattus sur la ville et </w:t>
      </w:r>
      <w:r w:rsidR="00D324BC">
        <w:rPr>
          <w:lang w:val="fr-FR"/>
        </w:rPr>
        <w:t xml:space="preserve">qui </w:t>
      </w:r>
      <w:r w:rsidR="00730D47" w:rsidRPr="00730D47">
        <w:rPr>
          <w:lang w:val="fr-FR"/>
        </w:rPr>
        <w:t xml:space="preserve">avaient rendu impraticables certaines zones de camping, la municipalité </w:t>
      </w:r>
      <w:r w:rsidR="00D324BC">
        <w:rPr>
          <w:lang w:val="fr-FR"/>
        </w:rPr>
        <w:t xml:space="preserve">avait </w:t>
      </w:r>
      <w:r w:rsidR="00730D47" w:rsidRPr="00730D47">
        <w:rPr>
          <w:lang w:val="fr-FR"/>
        </w:rPr>
        <w:t>autoris</w:t>
      </w:r>
      <w:r w:rsidR="00D324BC">
        <w:rPr>
          <w:lang w:val="fr-FR"/>
        </w:rPr>
        <w:t>é</w:t>
      </w:r>
      <w:r w:rsidR="00730D47" w:rsidRPr="00730D47">
        <w:rPr>
          <w:lang w:val="fr-FR"/>
        </w:rPr>
        <w:t xml:space="preserve"> l</w:t>
      </w:r>
      <w:r w:rsidR="00603708">
        <w:rPr>
          <w:lang w:val="fr-FR"/>
        </w:rPr>
        <w:t>’</w:t>
      </w:r>
      <w:r w:rsidR="00730D47" w:rsidRPr="00730D47">
        <w:rPr>
          <w:lang w:val="fr-FR"/>
        </w:rPr>
        <w:t>utilisation de l</w:t>
      </w:r>
      <w:r w:rsidR="00603708">
        <w:rPr>
          <w:lang w:val="fr-FR"/>
        </w:rPr>
        <w:t>’</w:t>
      </w:r>
      <w:r w:rsidR="00730D47" w:rsidRPr="00730D47">
        <w:rPr>
          <w:lang w:val="fr-FR"/>
        </w:rPr>
        <w:t>école Diaz-Pertini comme lieu d</w:t>
      </w:r>
      <w:r w:rsidR="00603708">
        <w:rPr>
          <w:lang w:val="fr-FR"/>
        </w:rPr>
        <w:t>’</w:t>
      </w:r>
      <w:r w:rsidR="00730D47" w:rsidRPr="00730D47">
        <w:rPr>
          <w:lang w:val="fr-FR"/>
        </w:rPr>
        <w:t>hébergement de nuit pour les manifestants.</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26</w:t>
      </w:r>
      <w:r>
        <w:rPr>
          <w:lang w:val="fr-FR"/>
        </w:rPr>
        <w:fldChar w:fldCharType="end"/>
      </w:r>
      <w:r>
        <w:rPr>
          <w:lang w:val="fr-FR"/>
        </w:rPr>
        <w:t>.  </w:t>
      </w:r>
      <w:r w:rsidR="00730D47" w:rsidRPr="00730D47">
        <w:rPr>
          <w:lang w:val="fr-FR"/>
        </w:rPr>
        <w:t>Les 20 et 21 juillet, des habitants du quartier signalèrent aux forces de l</w:t>
      </w:r>
      <w:r w:rsidR="00603708">
        <w:rPr>
          <w:lang w:val="fr-FR"/>
        </w:rPr>
        <w:t>’</w:t>
      </w:r>
      <w:r w:rsidR="00730D47" w:rsidRPr="00730D47">
        <w:rPr>
          <w:lang w:val="fr-FR"/>
        </w:rPr>
        <w:t>ordre que des jeunes habillés en noir étaient entrés dans l</w:t>
      </w:r>
      <w:r w:rsidR="00603708">
        <w:rPr>
          <w:lang w:val="fr-FR"/>
        </w:rPr>
        <w:t>’</w:t>
      </w:r>
      <w:r w:rsidR="00730D47" w:rsidRPr="00730D47">
        <w:rPr>
          <w:lang w:val="fr-FR"/>
        </w:rPr>
        <w:t>école Diaz-Pertini et qu</w:t>
      </w:r>
      <w:r w:rsidR="00603708">
        <w:rPr>
          <w:lang w:val="fr-FR"/>
        </w:rPr>
        <w:t>’</w:t>
      </w:r>
      <w:r w:rsidR="00730D47" w:rsidRPr="00730D47">
        <w:rPr>
          <w:lang w:val="fr-FR"/>
        </w:rPr>
        <w:t>ils avaient pris du matériel dans le chantier qui y était ouvert en raison de travaux en cours.</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27</w:t>
      </w:r>
      <w:r>
        <w:rPr>
          <w:lang w:val="fr-FR"/>
        </w:rPr>
        <w:fldChar w:fldCharType="end"/>
      </w:r>
      <w:r>
        <w:rPr>
          <w:lang w:val="fr-FR"/>
        </w:rPr>
        <w:t>.  </w:t>
      </w:r>
      <w:r w:rsidR="00730D47" w:rsidRPr="00730D47">
        <w:rPr>
          <w:lang w:val="fr-FR"/>
        </w:rPr>
        <w:t>Au début de la soirée du 21 juillet, l</w:t>
      </w:r>
      <w:r w:rsidR="00603708">
        <w:rPr>
          <w:lang w:val="fr-FR"/>
        </w:rPr>
        <w:t>’</w:t>
      </w:r>
      <w:r w:rsidR="00730D47" w:rsidRPr="00730D47">
        <w:rPr>
          <w:lang w:val="fr-FR"/>
        </w:rPr>
        <w:t>une des patrouilles mixtes transita dans la rue Cesare Battisti, provoquant une réaction verbale enflammée de la part de dizaines de personnes qui se trouvaient devant les deux écoles. Une bouteille vide fut lancée en direction des véhicules de police (jugement de première instance, pp. 244-249, et arrêt de la Cour de cassation, p. 122).</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28</w:t>
      </w:r>
      <w:r>
        <w:rPr>
          <w:lang w:val="fr-FR"/>
        </w:rPr>
        <w:fldChar w:fldCharType="end"/>
      </w:r>
      <w:r>
        <w:rPr>
          <w:lang w:val="fr-FR"/>
        </w:rPr>
        <w:t>.  </w:t>
      </w:r>
      <w:r w:rsidR="00730D47" w:rsidRPr="00730D47">
        <w:rPr>
          <w:lang w:val="fr-FR"/>
        </w:rPr>
        <w:t>De retour à la préfecture de police, les fonctionnaires de police qui dirigeaient la patrouille relatèrent les faits lors d</w:t>
      </w:r>
      <w:r w:rsidR="00603708">
        <w:rPr>
          <w:lang w:val="fr-FR"/>
        </w:rPr>
        <w:t>’</w:t>
      </w:r>
      <w:r w:rsidR="00730D47" w:rsidRPr="00730D47">
        <w:rPr>
          <w:lang w:val="fr-FR"/>
        </w:rPr>
        <w:t>une réunion tenue par les plus hauts fonctionnaires des forces de l</w:t>
      </w:r>
      <w:r w:rsidR="00603708">
        <w:rPr>
          <w:lang w:val="fr-FR"/>
        </w:rPr>
        <w:t>’</w:t>
      </w:r>
      <w:r w:rsidR="00730D47" w:rsidRPr="00730D47">
        <w:rPr>
          <w:lang w:val="fr-FR"/>
        </w:rPr>
        <w:t>ordre (notamment le préfet A., le préfet L.B., le préfet de police</w:t>
      </w:r>
      <w:r w:rsidR="00730D47" w:rsidRPr="00730D47">
        <w:rPr>
          <w:i/>
          <w:lang w:val="fr-FR"/>
        </w:rPr>
        <w:t xml:space="preserve"> </w:t>
      </w:r>
      <w:r w:rsidR="00730D47" w:rsidRPr="00730D47">
        <w:rPr>
          <w:lang w:val="fr-FR"/>
        </w:rPr>
        <w:t>C. et M.G.).</w:t>
      </w:r>
    </w:p>
    <w:p w:rsidR="00730D47" w:rsidRPr="00730D47" w:rsidRDefault="0062661A"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29</w:t>
      </w:r>
      <w:r>
        <w:rPr>
          <w:lang w:val="fr-FR"/>
        </w:rPr>
        <w:fldChar w:fldCharType="end"/>
      </w:r>
      <w:r>
        <w:rPr>
          <w:lang w:val="fr-FR"/>
        </w:rPr>
        <w:t>.  </w:t>
      </w:r>
      <w:r w:rsidR="00730D47" w:rsidRPr="00730D47">
        <w:rPr>
          <w:lang w:val="fr-FR"/>
        </w:rPr>
        <w:t>Après avoir pris contact avec le responsable du GSF auquel l</w:t>
      </w:r>
      <w:r w:rsidR="00603708">
        <w:rPr>
          <w:lang w:val="fr-FR"/>
        </w:rPr>
        <w:t>’</w:t>
      </w:r>
      <w:r w:rsidR="00730D47" w:rsidRPr="00730D47">
        <w:rPr>
          <w:lang w:val="fr-FR"/>
        </w:rPr>
        <w:t xml:space="preserve">école Diaz-Pertini avait été confiée, ils décidèrent de procéder à une perquisition pour recueillir des éléments de preuve et, éventuellement, arrêter les </w:t>
      </w:r>
      <w:r w:rsidR="004C30A4">
        <w:rPr>
          <w:lang w:val="fr-FR"/>
        </w:rPr>
        <w:t xml:space="preserve">membres des </w:t>
      </w:r>
      <w:r w:rsidR="00730D47" w:rsidRPr="00730D47">
        <w:rPr>
          <w:lang w:val="fr-FR"/>
        </w:rPr>
        <w:t>black blocks responsables des saccages Après</w:t>
      </w:r>
      <w:r w:rsidR="00650F9B">
        <w:rPr>
          <w:lang w:val="fr-FR"/>
        </w:rPr>
        <w:t> </w:t>
      </w:r>
      <w:r w:rsidR="00730D47" w:rsidRPr="00730D47">
        <w:rPr>
          <w:lang w:val="fr-FR"/>
        </w:rPr>
        <w:t>avoir écarté l</w:t>
      </w:r>
      <w:r w:rsidR="00603708">
        <w:rPr>
          <w:lang w:val="fr-FR"/>
        </w:rPr>
        <w:t>’</w:t>
      </w:r>
      <w:r w:rsidR="00730D47" w:rsidRPr="00730D47">
        <w:rPr>
          <w:lang w:val="fr-FR"/>
        </w:rPr>
        <w:t>hypothèse d</w:t>
      </w:r>
      <w:r w:rsidR="00603708">
        <w:rPr>
          <w:lang w:val="fr-FR"/>
        </w:rPr>
        <w:t>’</w:t>
      </w:r>
      <w:r w:rsidR="00730D47" w:rsidRPr="00730D47">
        <w:rPr>
          <w:lang w:val="fr-FR"/>
        </w:rPr>
        <w:t>un assaut de l</w:t>
      </w:r>
      <w:r w:rsidR="00603708">
        <w:rPr>
          <w:lang w:val="fr-FR"/>
        </w:rPr>
        <w:t>’</w:t>
      </w:r>
      <w:r w:rsidR="00730D47" w:rsidRPr="00730D47">
        <w:rPr>
          <w:lang w:val="fr-FR"/>
        </w:rPr>
        <w:t>école au gaz lacrymogène, ils retinrent les modalités suivantes : une unité de la police, constituée majoritairement d</w:t>
      </w:r>
      <w:r w:rsidR="00603708">
        <w:rPr>
          <w:lang w:val="fr-FR"/>
        </w:rPr>
        <w:t>’</w:t>
      </w:r>
      <w:r w:rsidR="00730D47" w:rsidRPr="00730D47">
        <w:rPr>
          <w:lang w:val="fr-FR"/>
        </w:rPr>
        <w:t xml:space="preserve">agents appartenant à une division spécialisée dans les opérations antiémeute et ayant suivi une formation </w:t>
      </w:r>
      <w:r w:rsidR="00730D47" w:rsidRPr="00730D47">
        <w:rPr>
          <w:i/>
          <w:lang w:val="fr-FR"/>
        </w:rPr>
        <w:t xml:space="preserve">ad hoc </w:t>
      </w:r>
      <w:r>
        <w:rPr>
          <w:lang w:val="fr-FR"/>
        </w:rPr>
        <w:t>(</w:t>
      </w:r>
      <w:r w:rsidR="00730D47" w:rsidRPr="00730D47">
        <w:rPr>
          <w:lang w:val="fr-FR"/>
        </w:rPr>
        <w:t>le « </w:t>
      </w:r>
      <w:r w:rsidR="00730D47" w:rsidRPr="00730D47">
        <w:rPr>
          <w:i/>
          <w:lang w:val="fr-FR"/>
        </w:rPr>
        <w:t>VII Nucleo antisommossa</w:t>
      </w:r>
      <w:r w:rsidR="00730D47" w:rsidRPr="00730D47">
        <w:rPr>
          <w:lang w:val="fr-FR"/>
        </w:rPr>
        <w:t> », constitué au sein de l</w:t>
      </w:r>
      <w:r w:rsidR="00603708">
        <w:rPr>
          <w:lang w:val="fr-FR"/>
        </w:rPr>
        <w:t>’</w:t>
      </w:r>
      <w:r w:rsidR="00730D47" w:rsidRPr="00730D47">
        <w:rPr>
          <w:lang w:val="fr-FR"/>
        </w:rPr>
        <w:t>unité mobile de Rome</w:t>
      </w:r>
      <w:r>
        <w:rPr>
          <w:lang w:val="fr-FR"/>
        </w:rPr>
        <w:t>)</w:t>
      </w:r>
      <w:r w:rsidR="00730D47" w:rsidRPr="00730D47">
        <w:rPr>
          <w:lang w:val="fr-FR"/>
        </w:rPr>
        <w:t xml:space="preserve"> devait « sécuriser » le bâtiment ; une autre unité devait procéder à la perquisition ; enfin, une unité de carabiniers devait entourer le bâtiment afin d</w:t>
      </w:r>
      <w:r w:rsidR="00603708">
        <w:rPr>
          <w:lang w:val="fr-FR"/>
        </w:rPr>
        <w:t>’</w:t>
      </w:r>
      <w:r w:rsidR="00730D47" w:rsidRPr="00730D47">
        <w:rPr>
          <w:lang w:val="fr-FR"/>
        </w:rPr>
        <w:t>empêcher la fuite des suspects. Le chef de la police fut également informé de l</w:t>
      </w:r>
      <w:r w:rsidR="00603708">
        <w:rPr>
          <w:lang w:val="fr-FR"/>
        </w:rPr>
        <w:t>’</w:t>
      </w:r>
      <w:r w:rsidR="00730D47" w:rsidRPr="00730D47">
        <w:rPr>
          <w:lang w:val="fr-FR"/>
        </w:rPr>
        <w:t xml:space="preserve">opération (jugement de première instance, pp. 226 et 249-252, et </w:t>
      </w:r>
      <w:r w:rsidR="00730D47" w:rsidRPr="00730D47">
        <w:rPr>
          <w:szCs w:val="24"/>
          <w:lang w:val="fr-FR"/>
        </w:rPr>
        <w:t>Rapport final de l</w:t>
      </w:r>
      <w:r w:rsidR="00603708">
        <w:rPr>
          <w:szCs w:val="24"/>
          <w:lang w:val="fr-FR"/>
        </w:rPr>
        <w:t>’</w:t>
      </w:r>
      <w:r w:rsidR="00730D47" w:rsidRPr="00730D47">
        <w:rPr>
          <w:szCs w:val="24"/>
          <w:lang w:val="fr-FR"/>
        </w:rPr>
        <w:t>enquête parlementaire, pp.</w:t>
      </w:r>
      <w:r w:rsidR="00730D47" w:rsidRPr="00730D47">
        <w:rPr>
          <w:lang w:val="fr-FR"/>
        </w:rPr>
        <w:t xml:space="preserve"> 29-31).</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30</w:t>
      </w:r>
      <w:r>
        <w:rPr>
          <w:lang w:val="fr-FR"/>
        </w:rPr>
        <w:fldChar w:fldCharType="end"/>
      </w:r>
      <w:r>
        <w:rPr>
          <w:lang w:val="fr-FR"/>
        </w:rPr>
        <w:t>.  </w:t>
      </w:r>
      <w:r w:rsidR="00730D47" w:rsidRPr="00730D47">
        <w:rPr>
          <w:lang w:val="fr-FR"/>
        </w:rPr>
        <w:t>En fin de soirée, un grand nombre d</w:t>
      </w:r>
      <w:r w:rsidR="00603708">
        <w:rPr>
          <w:lang w:val="fr-FR"/>
        </w:rPr>
        <w:t>’</w:t>
      </w:r>
      <w:r w:rsidR="00730D47" w:rsidRPr="00730D47">
        <w:rPr>
          <w:lang w:val="fr-FR"/>
        </w:rPr>
        <w:t>agents des forces de l</w:t>
      </w:r>
      <w:r w:rsidR="00603708">
        <w:rPr>
          <w:lang w:val="fr-FR"/>
        </w:rPr>
        <w:t>’</w:t>
      </w:r>
      <w:r w:rsidR="00730D47" w:rsidRPr="00730D47">
        <w:rPr>
          <w:lang w:val="fr-FR"/>
        </w:rPr>
        <w:t>ordre, issus de divers unités et services, quittèrent la préfecture de police de Gênes et se dirigèrent vers la rue Cesare Battisti (</w:t>
      </w:r>
      <w:r w:rsidR="00730D47" w:rsidRPr="00730D47">
        <w:rPr>
          <w:szCs w:val="24"/>
          <w:lang w:val="fr-FR"/>
        </w:rPr>
        <w:t>Rapport final de l</w:t>
      </w:r>
      <w:r w:rsidR="00603708">
        <w:rPr>
          <w:szCs w:val="24"/>
          <w:lang w:val="fr-FR"/>
        </w:rPr>
        <w:t>’</w:t>
      </w:r>
      <w:r w:rsidR="00730D47" w:rsidRPr="00730D47">
        <w:rPr>
          <w:szCs w:val="24"/>
          <w:lang w:val="fr-FR"/>
        </w:rPr>
        <w:t xml:space="preserve">enquête parlementaire, </w:t>
      </w:r>
      <w:r w:rsidR="00730D47" w:rsidRPr="00730D47">
        <w:rPr>
          <w:i/>
          <w:szCs w:val="24"/>
          <w:lang w:val="fr-FR"/>
        </w:rPr>
        <w:t>idem</w:t>
      </w:r>
      <w:r w:rsidR="00730D47" w:rsidRPr="00730D47">
        <w:rPr>
          <w:szCs w:val="24"/>
          <w:lang w:val="fr-FR"/>
        </w:rPr>
        <w:t>)</w:t>
      </w:r>
      <w:r w:rsidR="00730D47" w:rsidRPr="00730D47">
        <w:rPr>
          <w:lang w:val="fr-FR"/>
        </w:rPr>
        <w:t>. D</w:t>
      </w:r>
      <w:r w:rsidR="00603708">
        <w:rPr>
          <w:lang w:val="fr-FR"/>
        </w:rPr>
        <w:t>’</w:t>
      </w:r>
      <w:r w:rsidR="00730D47" w:rsidRPr="00730D47">
        <w:rPr>
          <w:lang w:val="fr-FR"/>
        </w:rPr>
        <w:t>après l</w:t>
      </w:r>
      <w:r w:rsidR="00603708">
        <w:rPr>
          <w:lang w:val="fr-FR"/>
        </w:rPr>
        <w:t>’</w:t>
      </w:r>
      <w:r w:rsidR="00730D47" w:rsidRPr="00730D47">
        <w:rPr>
          <w:lang w:val="fr-FR"/>
        </w:rPr>
        <w:t>arrêt de la Cour de cassation, le nombre total de participants à l</w:t>
      </w:r>
      <w:r w:rsidR="00603708">
        <w:rPr>
          <w:lang w:val="fr-FR"/>
        </w:rPr>
        <w:t>’</w:t>
      </w:r>
      <w:r w:rsidR="00730D47" w:rsidRPr="00730D47">
        <w:rPr>
          <w:lang w:val="fr-FR"/>
        </w:rPr>
        <w:t>opération s</w:t>
      </w:r>
      <w:r w:rsidR="00603708">
        <w:rPr>
          <w:lang w:val="fr-FR"/>
        </w:rPr>
        <w:t>’</w:t>
      </w:r>
      <w:r w:rsidR="00730D47" w:rsidRPr="00730D47">
        <w:rPr>
          <w:lang w:val="fr-FR"/>
        </w:rPr>
        <w:t>élevait à « environ 500 agents de police et carabiniers, ces derniers étant chargés seulement d</w:t>
      </w:r>
      <w:r w:rsidR="00603708">
        <w:rPr>
          <w:lang w:val="fr-FR"/>
        </w:rPr>
        <w:t>’</w:t>
      </w:r>
      <w:r w:rsidR="00730D47" w:rsidRPr="00730D47">
        <w:rPr>
          <w:lang w:val="fr-FR"/>
        </w:rPr>
        <w:t>encercler le bâtiment ». L</w:t>
      </w:r>
      <w:r w:rsidR="00603708">
        <w:rPr>
          <w:lang w:val="fr-FR"/>
        </w:rPr>
        <w:t>’</w:t>
      </w:r>
      <w:r w:rsidR="00730D47" w:rsidRPr="00730D47">
        <w:rPr>
          <w:lang w:val="fr-FR"/>
        </w:rPr>
        <w:t>arrêt d</w:t>
      </w:r>
      <w:r w:rsidR="00603708">
        <w:rPr>
          <w:lang w:val="fr-FR"/>
        </w:rPr>
        <w:t>’</w:t>
      </w:r>
      <w:r w:rsidR="00730D47" w:rsidRPr="00730D47">
        <w:rPr>
          <w:lang w:val="fr-FR"/>
        </w:rPr>
        <w:t>appel (p. 204) souligne que ce nombre n</w:t>
      </w:r>
      <w:r w:rsidR="00603708">
        <w:rPr>
          <w:lang w:val="fr-FR"/>
        </w:rPr>
        <w:t>’</w:t>
      </w:r>
      <w:r w:rsidR="00730D47" w:rsidRPr="00730D47">
        <w:rPr>
          <w:lang w:val="fr-FR"/>
        </w:rPr>
        <w:t>a jamais été déterminé avec exactitude.</w:t>
      </w:r>
    </w:p>
    <w:p w:rsidR="00730D47" w:rsidRPr="00730D47" w:rsidRDefault="009C06F2" w:rsidP="009C06F2">
      <w:pPr>
        <w:pStyle w:val="ECHRHeading2"/>
        <w:rPr>
          <w:lang w:val="fr-FR"/>
        </w:rPr>
      </w:pPr>
      <w:r>
        <w:rPr>
          <w:lang w:val="fr-FR"/>
        </w:rPr>
        <w:t>D</w:t>
      </w:r>
      <w:r w:rsidR="00730D47" w:rsidRPr="00730D47">
        <w:rPr>
          <w:lang w:val="fr-FR"/>
        </w:rPr>
        <w:t>.  L</w:t>
      </w:r>
      <w:r w:rsidR="00603708">
        <w:rPr>
          <w:lang w:val="fr-FR"/>
        </w:rPr>
        <w:t>’</w:t>
      </w:r>
      <w:r w:rsidR="00730D47" w:rsidRPr="00730D47">
        <w:rPr>
          <w:lang w:val="fr-FR"/>
        </w:rPr>
        <w:t>irruption de la police dans l</w:t>
      </w:r>
      <w:r w:rsidR="00603708">
        <w:rPr>
          <w:lang w:val="fr-FR"/>
        </w:rPr>
        <w:t>’</w:t>
      </w:r>
      <w:r w:rsidR="00730D47" w:rsidRPr="00730D47">
        <w:rPr>
          <w:lang w:val="fr-FR"/>
        </w:rPr>
        <w:t>école Diaz-Pertini</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31</w:t>
      </w:r>
      <w:r>
        <w:rPr>
          <w:lang w:val="fr-FR"/>
        </w:rPr>
        <w:fldChar w:fldCharType="end"/>
      </w:r>
      <w:r>
        <w:rPr>
          <w:lang w:val="fr-FR"/>
        </w:rPr>
        <w:t>.  </w:t>
      </w:r>
      <w:r w:rsidR="00730D47" w:rsidRPr="00730D47">
        <w:rPr>
          <w:lang w:val="fr-FR"/>
        </w:rPr>
        <w:t xml:space="preserve">Vers minuit, une fois arrivés à proximité des deux écoles, les membres du </w:t>
      </w:r>
      <w:r w:rsidR="00730D47" w:rsidRPr="00730D47">
        <w:rPr>
          <w:i/>
          <w:lang w:val="fr-FR"/>
        </w:rPr>
        <w:t>VII Nucleo antisommossa</w:t>
      </w:r>
      <w:r w:rsidR="00730D47" w:rsidRPr="00730D47">
        <w:rPr>
          <w:lang w:val="fr-FR"/>
        </w:rPr>
        <w:t xml:space="preserve">, munis de casques, boucliers et matraques de type </w:t>
      </w:r>
      <w:r w:rsidR="00730D47" w:rsidRPr="00730D47">
        <w:rPr>
          <w:i/>
          <w:lang w:val="fr-FR"/>
        </w:rPr>
        <w:t>tonfa</w:t>
      </w:r>
      <w:r w:rsidR="00730D47" w:rsidRPr="00730D47">
        <w:rPr>
          <w:lang w:val="fr-FR"/>
        </w:rPr>
        <w:t>, ainsi que d</w:t>
      </w:r>
      <w:r w:rsidR="00603708">
        <w:rPr>
          <w:lang w:val="fr-FR"/>
        </w:rPr>
        <w:t>’</w:t>
      </w:r>
      <w:r w:rsidR="00730D47" w:rsidRPr="00730D47">
        <w:rPr>
          <w:lang w:val="fr-FR"/>
        </w:rPr>
        <w:t>autres agents équipés à l</w:t>
      </w:r>
      <w:r w:rsidR="00603708">
        <w:rPr>
          <w:lang w:val="fr-FR"/>
        </w:rPr>
        <w:t>’</w:t>
      </w:r>
      <w:r w:rsidR="00730D47" w:rsidRPr="00730D47">
        <w:rPr>
          <w:lang w:val="fr-FR"/>
        </w:rPr>
        <w:t>identique commencèrent à avancer au pas de course. Un journaliste et un conseiller municipal, qui se trouvaient à l</w:t>
      </w:r>
      <w:r w:rsidR="00603708">
        <w:rPr>
          <w:lang w:val="fr-FR"/>
        </w:rPr>
        <w:t>’</w:t>
      </w:r>
      <w:r w:rsidR="00730D47" w:rsidRPr="00730D47">
        <w:rPr>
          <w:lang w:val="fr-FR"/>
        </w:rPr>
        <w:t>extérieur des bâtiments des deux écoles, furent attaqués à coups de pied et de matraque (jugement de première instance, pp. 253-261).</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32</w:t>
      </w:r>
      <w:r>
        <w:rPr>
          <w:lang w:val="fr-FR"/>
        </w:rPr>
        <w:fldChar w:fldCharType="end"/>
      </w:r>
      <w:r>
        <w:rPr>
          <w:lang w:val="fr-FR"/>
        </w:rPr>
        <w:t>.  </w:t>
      </w:r>
      <w:r w:rsidR="00730D47" w:rsidRPr="00730D47">
        <w:rPr>
          <w:lang w:val="fr-FR"/>
        </w:rPr>
        <w:t>Certains occupants de l</w:t>
      </w:r>
      <w:r w:rsidR="00603708">
        <w:rPr>
          <w:lang w:val="fr-FR"/>
        </w:rPr>
        <w:t>’</w:t>
      </w:r>
      <w:r w:rsidR="00730D47" w:rsidRPr="00730D47">
        <w:rPr>
          <w:lang w:val="fr-FR"/>
        </w:rPr>
        <w:t>école Diaz-Pertini qui se trouvaient à l</w:t>
      </w:r>
      <w:r w:rsidR="00603708">
        <w:rPr>
          <w:lang w:val="fr-FR"/>
        </w:rPr>
        <w:t>’</w:t>
      </w:r>
      <w:r w:rsidR="00730D47" w:rsidRPr="00730D47">
        <w:rPr>
          <w:lang w:val="fr-FR"/>
        </w:rPr>
        <w:t xml:space="preserve">extérieur regagnèrent alors le bâtiment et en fermèrent la grille et les </w:t>
      </w:r>
      <w:r w:rsidR="008B4D6D">
        <w:rPr>
          <w:lang w:val="fr-FR"/>
        </w:rPr>
        <w:t>portes d</w:t>
      </w:r>
      <w:r w:rsidR="00603708">
        <w:rPr>
          <w:lang w:val="fr-FR"/>
        </w:rPr>
        <w:t>’</w:t>
      </w:r>
      <w:r w:rsidR="00730D47" w:rsidRPr="00730D47">
        <w:rPr>
          <w:lang w:val="fr-FR"/>
        </w:rPr>
        <w:t>entrée, essayant de les bloquer avec des bancs de l</w:t>
      </w:r>
      <w:r w:rsidR="00603708">
        <w:rPr>
          <w:lang w:val="fr-FR"/>
        </w:rPr>
        <w:t>’</w:t>
      </w:r>
      <w:r w:rsidR="00730D47" w:rsidRPr="00730D47">
        <w:rPr>
          <w:lang w:val="fr-FR"/>
        </w:rPr>
        <w:t>école et des planches de bois. Les agents de police s</w:t>
      </w:r>
      <w:r w:rsidR="00603708">
        <w:rPr>
          <w:lang w:val="fr-FR"/>
        </w:rPr>
        <w:t>’</w:t>
      </w:r>
      <w:r w:rsidR="00730D47" w:rsidRPr="00730D47">
        <w:rPr>
          <w:lang w:val="fr-FR"/>
        </w:rPr>
        <w:t>amassèrent devant la grille qu</w:t>
      </w:r>
      <w:r w:rsidR="00603708">
        <w:rPr>
          <w:lang w:val="fr-FR"/>
        </w:rPr>
        <w:t>’</w:t>
      </w:r>
      <w:r w:rsidR="00730D47" w:rsidRPr="00730D47">
        <w:rPr>
          <w:lang w:val="fr-FR"/>
        </w:rPr>
        <w:t>ils forcèrent avec un engin blindé après avoir tenté en vain de l</w:t>
      </w:r>
      <w:r w:rsidR="00603708">
        <w:rPr>
          <w:lang w:val="fr-FR"/>
        </w:rPr>
        <w:t>’</w:t>
      </w:r>
      <w:r w:rsidR="00730D47" w:rsidRPr="00730D47">
        <w:rPr>
          <w:lang w:val="fr-FR"/>
        </w:rPr>
        <w:t>enfoncer à coups d</w:t>
      </w:r>
      <w:r w:rsidR="00603708">
        <w:rPr>
          <w:lang w:val="fr-FR"/>
        </w:rPr>
        <w:t>’</w:t>
      </w:r>
      <w:r w:rsidR="00730D47" w:rsidRPr="00730D47">
        <w:rPr>
          <w:lang w:val="fr-FR"/>
        </w:rPr>
        <w:t>épaule. Enfin, l</w:t>
      </w:r>
      <w:r w:rsidR="00603708">
        <w:rPr>
          <w:lang w:val="fr-FR"/>
        </w:rPr>
        <w:t>’</w:t>
      </w:r>
      <w:r w:rsidR="00730D47" w:rsidRPr="00730D47">
        <w:rPr>
          <w:lang w:val="fr-FR"/>
        </w:rPr>
        <w:t>unité de police décrite ci-dessus enfonça les portes d</w:t>
      </w:r>
      <w:r w:rsidR="00603708">
        <w:rPr>
          <w:lang w:val="fr-FR"/>
        </w:rPr>
        <w:t>’</w:t>
      </w:r>
      <w:r w:rsidR="00730D47" w:rsidRPr="00730D47">
        <w:rPr>
          <w:lang w:val="fr-FR"/>
        </w:rPr>
        <w:t>entrée (</w:t>
      </w:r>
      <w:r w:rsidR="00730D47" w:rsidRPr="00730D47">
        <w:rPr>
          <w:i/>
          <w:lang w:val="fr-FR"/>
        </w:rPr>
        <w:t>ibidem</w:t>
      </w:r>
      <w:r w:rsidR="00730D47" w:rsidRPr="00730D47">
        <w:rPr>
          <w:lang w:val="fr-FR"/>
        </w:rPr>
        <w:t>).</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33</w:t>
      </w:r>
      <w:r>
        <w:rPr>
          <w:lang w:val="fr-FR"/>
        </w:rPr>
        <w:fldChar w:fldCharType="end"/>
      </w:r>
      <w:r>
        <w:rPr>
          <w:lang w:val="fr-FR"/>
        </w:rPr>
        <w:t>.  </w:t>
      </w:r>
      <w:r w:rsidR="00730D47" w:rsidRPr="00730D47">
        <w:rPr>
          <w:lang w:val="fr-FR"/>
        </w:rPr>
        <w:t xml:space="preserve">Les agents se répartirent dans les étages du bâtiment, partiellement plongés dans le noir. </w:t>
      </w:r>
      <w:r w:rsidR="007768B7">
        <w:rPr>
          <w:lang w:val="fr-FR"/>
        </w:rPr>
        <w:t>Avec, p</w:t>
      </w:r>
      <w:r w:rsidR="00730D47" w:rsidRPr="00730D47">
        <w:rPr>
          <w:lang w:val="fr-FR"/>
        </w:rPr>
        <w:t>our la plupart</w:t>
      </w:r>
      <w:r w:rsidR="007768B7">
        <w:rPr>
          <w:lang w:val="fr-FR"/>
        </w:rPr>
        <w:t xml:space="preserve"> d</w:t>
      </w:r>
      <w:r w:rsidR="00603708">
        <w:rPr>
          <w:lang w:val="fr-FR"/>
        </w:rPr>
        <w:t>’</w:t>
      </w:r>
      <w:r w:rsidR="007768B7">
        <w:rPr>
          <w:lang w:val="fr-FR"/>
        </w:rPr>
        <w:t>entre eux,</w:t>
      </w:r>
      <w:r w:rsidR="00730D47" w:rsidRPr="00730D47">
        <w:rPr>
          <w:lang w:val="fr-FR"/>
        </w:rPr>
        <w:t xml:space="preserve"> le visage </w:t>
      </w:r>
      <w:r w:rsidR="007768B7">
        <w:rPr>
          <w:lang w:val="fr-FR"/>
        </w:rPr>
        <w:t>masqué</w:t>
      </w:r>
      <w:r w:rsidR="007768B7" w:rsidRPr="00730D47">
        <w:rPr>
          <w:lang w:val="fr-FR"/>
        </w:rPr>
        <w:t xml:space="preserve"> </w:t>
      </w:r>
      <w:r w:rsidR="00730D47" w:rsidRPr="00730D47">
        <w:rPr>
          <w:lang w:val="fr-FR"/>
        </w:rPr>
        <w:t xml:space="preserve">par </w:t>
      </w:r>
      <w:r w:rsidR="007619D2">
        <w:rPr>
          <w:lang w:val="fr-FR"/>
        </w:rPr>
        <w:t>un</w:t>
      </w:r>
      <w:r w:rsidR="00730D47" w:rsidRPr="00730D47">
        <w:rPr>
          <w:lang w:val="fr-FR"/>
        </w:rPr>
        <w:t xml:space="preserve"> foulard, ils commencèrent à frapper les occupants à coups de poing, de pied et de matraque, en criant et en menaçant les victimes. Des groupes d</w:t>
      </w:r>
      <w:r w:rsidR="00603708">
        <w:rPr>
          <w:lang w:val="fr-FR"/>
        </w:rPr>
        <w:t>’</w:t>
      </w:r>
      <w:r w:rsidR="00730D47" w:rsidRPr="00730D47">
        <w:rPr>
          <w:lang w:val="fr-FR"/>
        </w:rPr>
        <w:t>agents s</w:t>
      </w:r>
      <w:r w:rsidR="00603708">
        <w:rPr>
          <w:lang w:val="fr-FR"/>
        </w:rPr>
        <w:t>’</w:t>
      </w:r>
      <w:r w:rsidR="00730D47" w:rsidRPr="00730D47">
        <w:rPr>
          <w:lang w:val="fr-FR"/>
        </w:rPr>
        <w:t>acharnèrent même sur des occupants qui étaient assis ou allongés par terre. Certains des occupants, réveillés par le bruit de l</w:t>
      </w:r>
      <w:r w:rsidR="00603708">
        <w:rPr>
          <w:lang w:val="fr-FR"/>
        </w:rPr>
        <w:t>’</w:t>
      </w:r>
      <w:r w:rsidR="00730D47" w:rsidRPr="00730D47">
        <w:rPr>
          <w:lang w:val="fr-FR"/>
        </w:rPr>
        <w:t>assaut, furent frappés alors qu</w:t>
      </w:r>
      <w:r w:rsidR="00603708">
        <w:rPr>
          <w:lang w:val="fr-FR"/>
        </w:rPr>
        <w:t>’</w:t>
      </w:r>
      <w:r w:rsidR="00730D47" w:rsidRPr="00730D47">
        <w:rPr>
          <w:lang w:val="fr-FR"/>
        </w:rPr>
        <w:t>ils se trouvaient encore dans leur sac de couchage ; d</w:t>
      </w:r>
      <w:r w:rsidR="00603708">
        <w:rPr>
          <w:lang w:val="fr-FR"/>
        </w:rPr>
        <w:t>’</w:t>
      </w:r>
      <w:r w:rsidR="00730D47" w:rsidRPr="00730D47">
        <w:rPr>
          <w:lang w:val="fr-FR"/>
        </w:rPr>
        <w:t>autres le furent alors qu</w:t>
      </w:r>
      <w:r w:rsidR="00603708">
        <w:rPr>
          <w:lang w:val="fr-FR"/>
        </w:rPr>
        <w:t>’</w:t>
      </w:r>
      <w:r w:rsidR="00730D47" w:rsidRPr="00730D47">
        <w:rPr>
          <w:lang w:val="fr-FR"/>
        </w:rPr>
        <w:t>ils se tenaient les bras levés en signe de capitulation ou qu</w:t>
      </w:r>
      <w:r w:rsidR="00603708">
        <w:rPr>
          <w:lang w:val="fr-FR"/>
        </w:rPr>
        <w:t>’</w:t>
      </w:r>
      <w:r w:rsidR="00730D47" w:rsidRPr="00730D47">
        <w:rPr>
          <w:lang w:val="fr-FR"/>
        </w:rPr>
        <w:t xml:space="preserve">ils montraient leurs </w:t>
      </w:r>
      <w:r w:rsidR="007619D2">
        <w:rPr>
          <w:lang w:val="fr-FR"/>
        </w:rPr>
        <w:t>papiers</w:t>
      </w:r>
      <w:r w:rsidR="007619D2" w:rsidRPr="00730D47">
        <w:rPr>
          <w:lang w:val="fr-FR"/>
        </w:rPr>
        <w:t xml:space="preserve"> </w:t>
      </w:r>
      <w:r w:rsidR="00730D47" w:rsidRPr="00730D47">
        <w:rPr>
          <w:lang w:val="fr-FR"/>
        </w:rPr>
        <w:t>d</w:t>
      </w:r>
      <w:r w:rsidR="00603708">
        <w:rPr>
          <w:lang w:val="fr-FR"/>
        </w:rPr>
        <w:t>’</w:t>
      </w:r>
      <w:r w:rsidR="00730D47" w:rsidRPr="00730D47">
        <w:rPr>
          <w:lang w:val="fr-FR"/>
        </w:rPr>
        <w:t>identité. Certains occupants essayèrent de s</w:t>
      </w:r>
      <w:r w:rsidR="00603708">
        <w:rPr>
          <w:lang w:val="fr-FR"/>
        </w:rPr>
        <w:t>’</w:t>
      </w:r>
      <w:r w:rsidR="00730D47" w:rsidRPr="00730D47">
        <w:rPr>
          <w:lang w:val="fr-FR"/>
        </w:rPr>
        <w:t xml:space="preserve">enfuir et de se cacher dans les toilettes ou dans des débarras du bâtiment, mais ils furent </w:t>
      </w:r>
      <w:r w:rsidR="007619D2">
        <w:rPr>
          <w:lang w:val="fr-FR"/>
        </w:rPr>
        <w:t>r</w:t>
      </w:r>
      <w:r w:rsidR="00730D47" w:rsidRPr="00730D47">
        <w:rPr>
          <w:lang w:val="fr-FR"/>
        </w:rPr>
        <w:t>attrapés, battus, parfois tirés hors de leurs cachettes par les cheveux (jugement de première instance, pp. 263-280, et arrêt d</w:t>
      </w:r>
      <w:r w:rsidR="00603708">
        <w:rPr>
          <w:lang w:val="fr-FR"/>
        </w:rPr>
        <w:t>’</w:t>
      </w:r>
      <w:r w:rsidR="00730D47" w:rsidRPr="00730D47">
        <w:rPr>
          <w:lang w:val="fr-FR"/>
        </w:rPr>
        <w:t>appel, pp</w:t>
      </w:r>
      <w:r w:rsidR="007619D2" w:rsidRPr="00730D47">
        <w:rPr>
          <w:lang w:val="fr-FR"/>
        </w:rPr>
        <w:t>.</w:t>
      </w:r>
      <w:r w:rsidR="007619D2">
        <w:rPr>
          <w:lang w:val="fr-FR"/>
        </w:rPr>
        <w:t> </w:t>
      </w:r>
      <w:r w:rsidR="00730D47" w:rsidRPr="00730D47">
        <w:rPr>
          <w:lang w:val="fr-FR"/>
        </w:rPr>
        <w:t>205-212).</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34</w:t>
      </w:r>
      <w:r>
        <w:rPr>
          <w:lang w:val="fr-FR"/>
        </w:rPr>
        <w:fldChar w:fldCharType="end"/>
      </w:r>
      <w:r>
        <w:rPr>
          <w:lang w:val="fr-FR"/>
        </w:rPr>
        <w:t>.  </w:t>
      </w:r>
      <w:r w:rsidR="00730D47" w:rsidRPr="00730D47">
        <w:rPr>
          <w:lang w:val="fr-FR"/>
        </w:rPr>
        <w:t>Le requérant, âgé de soixante-deux ans à l</w:t>
      </w:r>
      <w:r w:rsidR="00603708">
        <w:rPr>
          <w:lang w:val="fr-FR"/>
        </w:rPr>
        <w:t>’</w:t>
      </w:r>
      <w:r w:rsidR="00730D47" w:rsidRPr="00730D47">
        <w:rPr>
          <w:lang w:val="fr-FR"/>
        </w:rPr>
        <w:t>époque des faits, se trouvait au rez-de-chaussée. Réveillé par le bruit, il s</w:t>
      </w:r>
      <w:r w:rsidR="00603708">
        <w:rPr>
          <w:lang w:val="fr-FR"/>
        </w:rPr>
        <w:t>’</w:t>
      </w:r>
      <w:r w:rsidR="00730D47" w:rsidRPr="00730D47">
        <w:rPr>
          <w:lang w:val="fr-FR"/>
        </w:rPr>
        <w:t>était, à l</w:t>
      </w:r>
      <w:r w:rsidR="00603708">
        <w:rPr>
          <w:lang w:val="fr-FR"/>
        </w:rPr>
        <w:t>’</w:t>
      </w:r>
      <w:r w:rsidR="00730D47" w:rsidRPr="00730D47">
        <w:rPr>
          <w:lang w:val="fr-FR"/>
        </w:rPr>
        <w:t xml:space="preserve">arrivée de la police, assis dos </w:t>
      </w:r>
      <w:r w:rsidR="00940E04">
        <w:rPr>
          <w:lang w:val="fr-FR"/>
        </w:rPr>
        <w:t>contre le</w:t>
      </w:r>
      <w:r w:rsidR="00730D47" w:rsidRPr="00730D47">
        <w:rPr>
          <w:lang w:val="fr-FR"/>
        </w:rPr>
        <w:t xml:space="preserve"> mur à côté d</w:t>
      </w:r>
      <w:r w:rsidR="00603708">
        <w:rPr>
          <w:lang w:val="fr-FR"/>
        </w:rPr>
        <w:t>’</w:t>
      </w:r>
      <w:r w:rsidR="00730D47" w:rsidRPr="00730D47">
        <w:rPr>
          <w:lang w:val="fr-FR"/>
        </w:rPr>
        <w:t>un groupe d</w:t>
      </w:r>
      <w:r w:rsidR="00603708">
        <w:rPr>
          <w:lang w:val="fr-FR"/>
        </w:rPr>
        <w:t>’</w:t>
      </w:r>
      <w:r w:rsidR="00730D47" w:rsidRPr="00730D47">
        <w:rPr>
          <w:lang w:val="fr-FR"/>
        </w:rPr>
        <w:t>occupants et</w:t>
      </w:r>
      <w:r w:rsidR="005D298E">
        <w:rPr>
          <w:lang w:val="fr-FR"/>
        </w:rPr>
        <w:t xml:space="preserve"> </w:t>
      </w:r>
      <w:r w:rsidR="00DA6887" w:rsidRPr="00606609">
        <w:rPr>
          <w:lang w:val="fr-FR"/>
        </w:rPr>
        <w:t>avait</w:t>
      </w:r>
      <w:r w:rsidR="00730D47" w:rsidRPr="00730D47">
        <w:rPr>
          <w:lang w:val="fr-FR"/>
        </w:rPr>
        <w:t xml:space="preserve"> les bras en l</w:t>
      </w:r>
      <w:r w:rsidR="00603708">
        <w:rPr>
          <w:lang w:val="fr-FR"/>
        </w:rPr>
        <w:t>’</w:t>
      </w:r>
      <w:r w:rsidR="00730D47" w:rsidRPr="00730D47">
        <w:rPr>
          <w:lang w:val="fr-FR"/>
        </w:rPr>
        <w:t xml:space="preserve">air (jugement de première instance, pp. 263-265 et 313). Il </w:t>
      </w:r>
      <w:r w:rsidR="001B28D1">
        <w:rPr>
          <w:lang w:val="fr-FR"/>
        </w:rPr>
        <w:t>fut frappé</w:t>
      </w:r>
      <w:r w:rsidR="00730D47" w:rsidRPr="00730D47">
        <w:rPr>
          <w:lang w:val="fr-FR"/>
        </w:rPr>
        <w:t xml:space="preserve"> surtout sur la tête, les bras et les jambes, </w:t>
      </w:r>
      <w:r w:rsidR="001B28D1">
        <w:rPr>
          <w:lang w:val="fr-FR"/>
        </w:rPr>
        <w:t>les coups portés causant</w:t>
      </w:r>
      <w:r w:rsidR="00730D47" w:rsidRPr="00730D47">
        <w:rPr>
          <w:lang w:val="fr-FR"/>
        </w:rPr>
        <w:t xml:space="preserve"> de multiples fractures : fractures du cubitus droit, du styloïde droit, de la fibul</w:t>
      </w:r>
      <w:r w:rsidR="00AB5743">
        <w:rPr>
          <w:lang w:val="fr-FR"/>
        </w:rPr>
        <w:t>e</w:t>
      </w:r>
      <w:r w:rsidR="00730D47" w:rsidRPr="00730D47">
        <w:rPr>
          <w:lang w:val="fr-FR"/>
        </w:rPr>
        <w:t xml:space="preserve"> droite et de plusieurs côtes. D</w:t>
      </w:r>
      <w:r w:rsidR="00603708">
        <w:rPr>
          <w:lang w:val="fr-FR"/>
        </w:rPr>
        <w:t>’</w:t>
      </w:r>
      <w:r w:rsidR="00730D47" w:rsidRPr="00730D47">
        <w:rPr>
          <w:lang w:val="fr-FR"/>
        </w:rPr>
        <w:t xml:space="preserve">après </w:t>
      </w:r>
      <w:r w:rsidR="008B6BC3">
        <w:rPr>
          <w:lang w:val="fr-FR"/>
        </w:rPr>
        <w:t>les déclarations</w:t>
      </w:r>
      <w:r w:rsidR="00730D47" w:rsidRPr="00730D47">
        <w:rPr>
          <w:lang w:val="fr-FR"/>
        </w:rPr>
        <w:t xml:space="preserve"> de l</w:t>
      </w:r>
      <w:r w:rsidR="00603708">
        <w:rPr>
          <w:lang w:val="fr-FR"/>
        </w:rPr>
        <w:t>’</w:t>
      </w:r>
      <w:r w:rsidR="00730D47" w:rsidRPr="00730D47">
        <w:rPr>
          <w:lang w:val="fr-FR"/>
        </w:rPr>
        <w:t>intéressé devant le tribunal de Gênes, le personnel sanitaire entré dans l</w:t>
      </w:r>
      <w:r w:rsidR="00603708">
        <w:rPr>
          <w:lang w:val="fr-FR"/>
        </w:rPr>
        <w:t>’</w:t>
      </w:r>
      <w:r w:rsidR="00730D47" w:rsidRPr="00730D47">
        <w:rPr>
          <w:lang w:val="fr-FR"/>
        </w:rPr>
        <w:t>école après la fin des violences l</w:t>
      </w:r>
      <w:r w:rsidR="00603708">
        <w:rPr>
          <w:lang w:val="fr-FR"/>
        </w:rPr>
        <w:t>’</w:t>
      </w:r>
      <w:r w:rsidR="00730D47" w:rsidRPr="00730D47">
        <w:rPr>
          <w:lang w:val="fr-FR"/>
        </w:rPr>
        <w:t>a</w:t>
      </w:r>
      <w:r w:rsidR="00940E04">
        <w:rPr>
          <w:lang w:val="fr-FR"/>
        </w:rPr>
        <w:t>vait</w:t>
      </w:r>
      <w:r w:rsidR="00730D47" w:rsidRPr="00730D47">
        <w:rPr>
          <w:lang w:val="fr-FR"/>
        </w:rPr>
        <w:t xml:space="preserve"> pris en charge en dernier, malgré ses appels au secours.</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35</w:t>
      </w:r>
      <w:r>
        <w:rPr>
          <w:lang w:val="fr-FR"/>
        </w:rPr>
        <w:fldChar w:fldCharType="end"/>
      </w:r>
      <w:r>
        <w:rPr>
          <w:lang w:val="fr-FR"/>
        </w:rPr>
        <w:t>.  </w:t>
      </w:r>
      <w:r w:rsidR="00940E04">
        <w:rPr>
          <w:lang w:val="fr-FR"/>
        </w:rPr>
        <w:t>Le requérant</w:t>
      </w:r>
      <w:r w:rsidR="00730D47" w:rsidRPr="00730D47">
        <w:rPr>
          <w:lang w:val="fr-FR"/>
        </w:rPr>
        <w:t xml:space="preserve"> fut opéré à l</w:t>
      </w:r>
      <w:r w:rsidR="00603708">
        <w:rPr>
          <w:lang w:val="fr-FR"/>
        </w:rPr>
        <w:t>’</w:t>
      </w:r>
      <w:r w:rsidR="00730D47" w:rsidRPr="00730D47">
        <w:rPr>
          <w:lang w:val="fr-FR"/>
        </w:rPr>
        <w:t>hôpital Galliera de Gênes, où il demeura quatre jours, puis</w:t>
      </w:r>
      <w:r w:rsidR="00AB5743">
        <w:rPr>
          <w:lang w:val="fr-FR"/>
        </w:rPr>
        <w:t>, quelques années plus tard,</w:t>
      </w:r>
      <w:r w:rsidR="00730D47" w:rsidRPr="00730D47">
        <w:rPr>
          <w:lang w:val="fr-FR"/>
        </w:rPr>
        <w:t xml:space="preserve"> à l</w:t>
      </w:r>
      <w:r w:rsidR="00603708">
        <w:rPr>
          <w:lang w:val="fr-FR"/>
        </w:rPr>
        <w:t>’</w:t>
      </w:r>
      <w:r w:rsidR="00730D47" w:rsidRPr="00730D47">
        <w:rPr>
          <w:lang w:val="fr-FR"/>
        </w:rPr>
        <w:t xml:space="preserve">hôpital Careggi de Florence. Il </w:t>
      </w:r>
      <w:r w:rsidR="008B20DD">
        <w:rPr>
          <w:lang w:val="fr-FR"/>
        </w:rPr>
        <w:t>se vit reconnaître</w:t>
      </w:r>
      <w:r w:rsidR="00730D47" w:rsidRPr="00730D47">
        <w:rPr>
          <w:lang w:val="fr-FR"/>
        </w:rPr>
        <w:t xml:space="preserve"> une incapacité temporaire de travail </w:t>
      </w:r>
      <w:r w:rsidR="008B6BC3">
        <w:rPr>
          <w:lang w:val="fr-FR"/>
        </w:rPr>
        <w:t xml:space="preserve">supérieure à </w:t>
      </w:r>
      <w:r w:rsidR="00730D47" w:rsidRPr="00730D47">
        <w:rPr>
          <w:lang w:val="fr-FR"/>
        </w:rPr>
        <w:t xml:space="preserve">quarante jours. Il a gardé des blessures décrites ci-dessus une faiblesse permanente du bras </w:t>
      </w:r>
      <w:r w:rsidR="008B20DD">
        <w:rPr>
          <w:lang w:val="fr-FR"/>
        </w:rPr>
        <w:t xml:space="preserve">droit </w:t>
      </w:r>
      <w:r w:rsidR="00730D47" w:rsidRPr="00730D47">
        <w:rPr>
          <w:lang w:val="fr-FR"/>
        </w:rPr>
        <w:t>et de la jambe droit</w:t>
      </w:r>
      <w:r w:rsidR="008B20DD">
        <w:rPr>
          <w:lang w:val="fr-FR"/>
        </w:rPr>
        <w:t>e</w:t>
      </w:r>
      <w:r w:rsidR="00730D47" w:rsidRPr="00730D47">
        <w:rPr>
          <w:lang w:val="fr-FR"/>
        </w:rPr>
        <w:t xml:space="preserve"> (jugement de première instance, pp. XVII et 345).</w:t>
      </w:r>
    </w:p>
    <w:p w:rsidR="00730D47" w:rsidRPr="00730D47" w:rsidRDefault="009C06F2" w:rsidP="009C06F2">
      <w:pPr>
        <w:pStyle w:val="ECHRHeading2"/>
        <w:rPr>
          <w:lang w:val="fr-FR"/>
        </w:rPr>
      </w:pPr>
      <w:r>
        <w:rPr>
          <w:lang w:val="fr-FR"/>
        </w:rPr>
        <w:t>E</w:t>
      </w:r>
      <w:r w:rsidR="00730D47" w:rsidRPr="00730D47">
        <w:rPr>
          <w:lang w:val="fr-FR"/>
        </w:rPr>
        <w:t>.  L</w:t>
      </w:r>
      <w:r w:rsidR="00603708">
        <w:rPr>
          <w:lang w:val="fr-FR"/>
        </w:rPr>
        <w:t>’</w:t>
      </w:r>
      <w:r w:rsidR="00730D47" w:rsidRPr="00730D47">
        <w:rPr>
          <w:lang w:val="fr-FR"/>
        </w:rPr>
        <w:t>irruption de la police dans l</w:t>
      </w:r>
      <w:r w:rsidR="00603708">
        <w:rPr>
          <w:lang w:val="fr-FR"/>
        </w:rPr>
        <w:t>’</w:t>
      </w:r>
      <w:r w:rsidR="00730D47" w:rsidRPr="00730D47">
        <w:rPr>
          <w:lang w:val="fr-FR"/>
        </w:rPr>
        <w:t>école Pascoli</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36</w:t>
      </w:r>
      <w:r>
        <w:rPr>
          <w:lang w:val="fr-FR"/>
        </w:rPr>
        <w:fldChar w:fldCharType="end"/>
      </w:r>
      <w:r>
        <w:rPr>
          <w:lang w:val="fr-FR"/>
        </w:rPr>
        <w:t>.  </w:t>
      </w:r>
      <w:r w:rsidR="00730D47" w:rsidRPr="00730D47">
        <w:rPr>
          <w:lang w:val="fr-FR"/>
        </w:rPr>
        <w:t>Peu après l</w:t>
      </w:r>
      <w:r w:rsidR="00603708">
        <w:rPr>
          <w:lang w:val="fr-FR"/>
        </w:rPr>
        <w:t>’</w:t>
      </w:r>
      <w:r w:rsidR="00730D47" w:rsidRPr="00730D47">
        <w:rPr>
          <w:lang w:val="fr-FR"/>
        </w:rPr>
        <w:t>irruption dans l</w:t>
      </w:r>
      <w:r w:rsidR="00603708">
        <w:rPr>
          <w:lang w:val="fr-FR"/>
        </w:rPr>
        <w:t>’</w:t>
      </w:r>
      <w:r w:rsidR="00730D47" w:rsidRPr="00730D47">
        <w:rPr>
          <w:lang w:val="fr-FR"/>
        </w:rPr>
        <w:t>école Diaz-Pertini, une unité d</w:t>
      </w:r>
      <w:r w:rsidR="00603708">
        <w:rPr>
          <w:lang w:val="fr-FR"/>
        </w:rPr>
        <w:t>’</w:t>
      </w:r>
      <w:r w:rsidR="00730D47" w:rsidRPr="00730D47">
        <w:rPr>
          <w:lang w:val="fr-FR"/>
        </w:rPr>
        <w:t>agents fit irruption dans l</w:t>
      </w:r>
      <w:r w:rsidR="00603708">
        <w:rPr>
          <w:lang w:val="fr-FR"/>
        </w:rPr>
        <w:t>’</w:t>
      </w:r>
      <w:r w:rsidR="00730D47" w:rsidRPr="00730D47">
        <w:rPr>
          <w:lang w:val="fr-FR"/>
        </w:rPr>
        <w:t>école Pascoli, où des journalistes étaient en train de filmer ce qui se passait tant à l</w:t>
      </w:r>
      <w:r w:rsidR="00603708">
        <w:rPr>
          <w:lang w:val="fr-FR"/>
        </w:rPr>
        <w:t>’</w:t>
      </w:r>
      <w:r w:rsidR="00730D47" w:rsidRPr="00730D47">
        <w:rPr>
          <w:lang w:val="fr-FR"/>
        </w:rPr>
        <w:t>extérieur qu</w:t>
      </w:r>
      <w:r w:rsidR="00603708">
        <w:rPr>
          <w:lang w:val="fr-FR"/>
        </w:rPr>
        <w:t>’</w:t>
      </w:r>
      <w:r w:rsidR="00730D47" w:rsidRPr="00730D47">
        <w:rPr>
          <w:lang w:val="fr-FR"/>
        </w:rPr>
        <w:t>à l</w:t>
      </w:r>
      <w:r w:rsidR="00603708">
        <w:rPr>
          <w:lang w:val="fr-FR"/>
        </w:rPr>
        <w:t>’</w:t>
      </w:r>
      <w:r w:rsidR="00730D47" w:rsidRPr="00730D47">
        <w:rPr>
          <w:lang w:val="fr-FR"/>
        </w:rPr>
        <w:t>intérieur de l</w:t>
      </w:r>
      <w:r w:rsidR="00603708">
        <w:rPr>
          <w:lang w:val="fr-FR"/>
        </w:rPr>
        <w:t>’</w:t>
      </w:r>
      <w:r w:rsidR="00730D47" w:rsidRPr="00730D47">
        <w:rPr>
          <w:lang w:val="fr-FR"/>
        </w:rPr>
        <w:t>école</w:t>
      </w:r>
      <w:r w:rsidR="008B6BC3">
        <w:rPr>
          <w:lang w:val="fr-FR"/>
        </w:rPr>
        <w:t xml:space="preserve"> </w:t>
      </w:r>
      <w:r w:rsidR="008B6BC3" w:rsidRPr="00730D47">
        <w:rPr>
          <w:lang w:val="fr-FR"/>
        </w:rPr>
        <w:t>Diaz-Pertini</w:t>
      </w:r>
      <w:r w:rsidR="00730D47" w:rsidRPr="00730D47">
        <w:rPr>
          <w:lang w:val="fr-FR"/>
        </w:rPr>
        <w:t>. Une station radio relatait ces événements en direct.</w:t>
      </w:r>
    </w:p>
    <w:bookmarkStart w:id="2" w:name="OLE_LINK2"/>
    <w:bookmarkStart w:id="3" w:name="OLE_LINK3"/>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37</w:t>
      </w:r>
      <w:r>
        <w:rPr>
          <w:lang w:val="fr-FR"/>
        </w:rPr>
        <w:fldChar w:fldCharType="end"/>
      </w:r>
      <w:r>
        <w:rPr>
          <w:lang w:val="fr-FR"/>
        </w:rPr>
        <w:t>.  </w:t>
      </w:r>
      <w:r w:rsidRPr="00730D47">
        <w:rPr>
          <w:lang w:val="fr-FR"/>
        </w:rPr>
        <w:t>À</w:t>
      </w:r>
      <w:r w:rsidR="00730D47" w:rsidRPr="00730D47">
        <w:rPr>
          <w:lang w:val="fr-FR"/>
        </w:rPr>
        <w:t xml:space="preserve"> l</w:t>
      </w:r>
      <w:r w:rsidR="00603708">
        <w:rPr>
          <w:lang w:val="fr-FR"/>
        </w:rPr>
        <w:t>’</w:t>
      </w:r>
      <w:r w:rsidR="00730D47" w:rsidRPr="00730D47">
        <w:rPr>
          <w:lang w:val="fr-FR"/>
        </w:rPr>
        <w:t>arrivée des agents, les journalistes furent forcés de mettre fin aux prises de vue et à l</w:t>
      </w:r>
      <w:r w:rsidR="00603708">
        <w:rPr>
          <w:lang w:val="fr-FR"/>
        </w:rPr>
        <w:t>’</w:t>
      </w:r>
      <w:r w:rsidR="00730D47" w:rsidRPr="00730D47">
        <w:rPr>
          <w:lang w:val="fr-FR"/>
        </w:rPr>
        <w:t>émission de radio</w:t>
      </w:r>
      <w:bookmarkEnd w:id="2"/>
      <w:bookmarkEnd w:id="3"/>
      <w:r w:rsidR="00730D47" w:rsidRPr="00730D47">
        <w:rPr>
          <w:lang w:val="fr-FR"/>
        </w:rPr>
        <w:t>. Des cassettes qui contenaient les reportages filmés pendant les trois jours du sommet furent saisies et les disques durs des ordinateurs des avocats du GSF furent gravement endommagés (jugement de première instance, pp. 300-310).</w:t>
      </w:r>
    </w:p>
    <w:p w:rsidR="00730D47" w:rsidRPr="00730D47" w:rsidRDefault="009C06F2" w:rsidP="009C06F2">
      <w:pPr>
        <w:pStyle w:val="ECHRHeading2"/>
        <w:rPr>
          <w:lang w:val="fr-FR"/>
        </w:rPr>
      </w:pPr>
      <w:r>
        <w:rPr>
          <w:lang w:val="fr-FR"/>
        </w:rPr>
        <w:t>F</w:t>
      </w:r>
      <w:r w:rsidR="00730D47" w:rsidRPr="00730D47">
        <w:rPr>
          <w:lang w:val="fr-FR"/>
        </w:rPr>
        <w:t>.  Les événements qui suivirent l</w:t>
      </w:r>
      <w:r w:rsidR="00603708">
        <w:rPr>
          <w:lang w:val="fr-FR"/>
        </w:rPr>
        <w:t>’</w:t>
      </w:r>
      <w:r w:rsidR="00730D47" w:rsidRPr="00730D47">
        <w:rPr>
          <w:lang w:val="fr-FR"/>
        </w:rPr>
        <w:t>irruption dans les écoles Diaz-Pertini et Pascoli</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38</w:t>
      </w:r>
      <w:r>
        <w:rPr>
          <w:lang w:val="fr-FR"/>
        </w:rPr>
        <w:fldChar w:fldCharType="end"/>
      </w:r>
      <w:r>
        <w:rPr>
          <w:lang w:val="fr-FR"/>
        </w:rPr>
        <w:t>.  </w:t>
      </w:r>
      <w:r w:rsidR="00730D47" w:rsidRPr="00730D47">
        <w:rPr>
          <w:lang w:val="fr-FR"/>
        </w:rPr>
        <w:t>Après l</w:t>
      </w:r>
      <w:r w:rsidR="00603708">
        <w:rPr>
          <w:lang w:val="fr-FR"/>
        </w:rPr>
        <w:t>’</w:t>
      </w:r>
      <w:r w:rsidR="00730D47" w:rsidRPr="00730D47">
        <w:rPr>
          <w:lang w:val="fr-FR"/>
        </w:rPr>
        <w:t>irruption dans l</w:t>
      </w:r>
      <w:r w:rsidR="00603708">
        <w:rPr>
          <w:lang w:val="fr-FR"/>
        </w:rPr>
        <w:t>’</w:t>
      </w:r>
      <w:r w:rsidR="00730D47" w:rsidRPr="00730D47">
        <w:rPr>
          <w:lang w:val="fr-FR"/>
        </w:rPr>
        <w:t>école Diaz-Pertini, les forces de l</w:t>
      </w:r>
      <w:r w:rsidR="00603708">
        <w:rPr>
          <w:lang w:val="fr-FR"/>
        </w:rPr>
        <w:t>’</w:t>
      </w:r>
      <w:r w:rsidR="00730D47" w:rsidRPr="00730D47">
        <w:rPr>
          <w:lang w:val="fr-FR"/>
        </w:rPr>
        <w:t>ordre vidèrent les sacs à dos et les autres bagages des occupants, sans chercher à en identifier les propriétaires respectifs ni à expliquer la nature de l</w:t>
      </w:r>
      <w:r w:rsidR="00603708">
        <w:rPr>
          <w:lang w:val="fr-FR"/>
        </w:rPr>
        <w:t>’</w:t>
      </w:r>
      <w:r w:rsidR="00730D47" w:rsidRPr="00730D47">
        <w:rPr>
          <w:lang w:val="fr-FR"/>
        </w:rPr>
        <w:t xml:space="preserve">opération en cours. Elles réunirent une partie des objets ainsi collectés dans un drapeau noir </w:t>
      </w:r>
      <w:r w:rsidR="00940E04">
        <w:rPr>
          <w:lang w:val="fr-FR"/>
        </w:rPr>
        <w:t>qui se trouvait</w:t>
      </w:r>
      <w:r w:rsidR="00730D47" w:rsidRPr="00730D47">
        <w:rPr>
          <w:lang w:val="fr-FR"/>
        </w:rPr>
        <w:t xml:space="preserve"> dans la salle de gymnastique de l</w:t>
      </w:r>
      <w:r w:rsidR="00603708">
        <w:rPr>
          <w:lang w:val="fr-FR"/>
        </w:rPr>
        <w:t>’</w:t>
      </w:r>
      <w:r w:rsidR="00730D47" w:rsidRPr="00730D47">
        <w:rPr>
          <w:lang w:val="fr-FR"/>
        </w:rPr>
        <w:t>école. Au cours de cette opération, certains occupants furent emmenés dans cette même salle et contraints de s</w:t>
      </w:r>
      <w:r w:rsidR="00603708">
        <w:rPr>
          <w:lang w:val="fr-FR"/>
        </w:rPr>
        <w:t>’</w:t>
      </w:r>
      <w:r w:rsidR="00730D47" w:rsidRPr="00730D47">
        <w:rPr>
          <w:lang w:val="fr-FR"/>
        </w:rPr>
        <w:t>asseoir ou de s</w:t>
      </w:r>
      <w:r w:rsidR="00603708">
        <w:rPr>
          <w:lang w:val="fr-FR"/>
        </w:rPr>
        <w:t>’</w:t>
      </w:r>
      <w:r w:rsidR="00730D47" w:rsidRPr="00730D47">
        <w:rPr>
          <w:lang w:val="fr-FR"/>
        </w:rPr>
        <w:t>allonger par terre (jugement de première instance, pp. 285-300).</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39</w:t>
      </w:r>
      <w:r>
        <w:rPr>
          <w:lang w:val="fr-FR"/>
        </w:rPr>
        <w:fldChar w:fldCharType="end"/>
      </w:r>
      <w:r>
        <w:rPr>
          <w:lang w:val="fr-FR"/>
        </w:rPr>
        <w:t>.  </w:t>
      </w:r>
      <w:r w:rsidR="00730D47" w:rsidRPr="00730D47">
        <w:rPr>
          <w:lang w:val="fr-FR"/>
        </w:rPr>
        <w:t>Les quatre-vingt-treize occupants de l</w:t>
      </w:r>
      <w:r w:rsidR="00603708">
        <w:rPr>
          <w:lang w:val="fr-FR"/>
        </w:rPr>
        <w:t>’</w:t>
      </w:r>
      <w:r w:rsidR="00730D47" w:rsidRPr="00730D47">
        <w:rPr>
          <w:lang w:val="fr-FR"/>
        </w:rPr>
        <w:t>école furent arrêtés et accusés d</w:t>
      </w:r>
      <w:r w:rsidR="00603708">
        <w:rPr>
          <w:lang w:val="fr-FR"/>
        </w:rPr>
        <w:t>’</w:t>
      </w:r>
      <w:r w:rsidR="00730D47" w:rsidRPr="00730D47">
        <w:rPr>
          <w:lang w:val="fr-FR"/>
        </w:rPr>
        <w:t>association de malfaiteurs visant au saccage et à la dévastation.</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40</w:t>
      </w:r>
      <w:r>
        <w:rPr>
          <w:lang w:val="fr-FR"/>
        </w:rPr>
        <w:fldChar w:fldCharType="end"/>
      </w:r>
      <w:r>
        <w:rPr>
          <w:lang w:val="fr-FR"/>
        </w:rPr>
        <w:t>.  </w:t>
      </w:r>
      <w:r w:rsidR="00730D47" w:rsidRPr="00730D47">
        <w:rPr>
          <w:lang w:val="fr-FR"/>
        </w:rPr>
        <w:t xml:space="preserve">Ils furent pour la plupart conduits dans des hôpitaux de la ville. Certains </w:t>
      </w:r>
      <w:r w:rsidR="008B20DD">
        <w:rPr>
          <w:lang w:val="fr-FR"/>
        </w:rPr>
        <w:t>d</w:t>
      </w:r>
      <w:r w:rsidR="00603708">
        <w:rPr>
          <w:lang w:val="fr-FR"/>
        </w:rPr>
        <w:t>’</w:t>
      </w:r>
      <w:r w:rsidR="008B20DD">
        <w:rPr>
          <w:lang w:val="fr-FR"/>
        </w:rPr>
        <w:t xml:space="preserve">entre </w:t>
      </w:r>
      <w:r w:rsidR="00730D47" w:rsidRPr="00730D47">
        <w:rPr>
          <w:lang w:val="fr-FR"/>
        </w:rPr>
        <w:t>d</w:t>
      </w:r>
      <w:r w:rsidR="00603708">
        <w:rPr>
          <w:lang w:val="fr-FR"/>
        </w:rPr>
        <w:t>’</w:t>
      </w:r>
      <w:r w:rsidR="00730D47" w:rsidRPr="00730D47">
        <w:rPr>
          <w:lang w:val="fr-FR"/>
        </w:rPr>
        <w:t>eux furent transférés immédiatement dans la caserne de Bolzaneto.</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41</w:t>
      </w:r>
      <w:r>
        <w:rPr>
          <w:lang w:val="fr-FR"/>
        </w:rPr>
        <w:fldChar w:fldCharType="end"/>
      </w:r>
      <w:r>
        <w:rPr>
          <w:lang w:val="fr-FR"/>
        </w:rPr>
        <w:t>.  </w:t>
      </w:r>
      <w:r w:rsidR="00730D47" w:rsidRPr="00730D47">
        <w:rPr>
          <w:lang w:val="fr-FR"/>
        </w:rPr>
        <w:t>Dans la nuit du 21 au 22 juillet, le chef de l</w:t>
      </w:r>
      <w:r w:rsidR="00603708">
        <w:rPr>
          <w:lang w:val="fr-FR"/>
        </w:rPr>
        <w:t>’</w:t>
      </w:r>
      <w:r w:rsidR="00730D47" w:rsidRPr="00730D47">
        <w:rPr>
          <w:lang w:val="fr-FR"/>
        </w:rPr>
        <w:t>unité de presse de la police italienne, interviewé à proximité des écoles, déclara que, au cours de la perquisition, la police avait trouvé des vêtements et cagoules noirs similaires à ceux utilisés par les black blocks. Il ajouta que les nombreuses taches de sang dans le bâtiment s</w:t>
      </w:r>
      <w:r w:rsidR="00603708">
        <w:rPr>
          <w:lang w:val="fr-FR"/>
        </w:rPr>
        <w:t>’</w:t>
      </w:r>
      <w:r w:rsidR="00730D47" w:rsidRPr="00730D47">
        <w:rPr>
          <w:lang w:val="fr-FR"/>
        </w:rPr>
        <w:t>expliquaient par les blessures que la plupart des occupants de l</w:t>
      </w:r>
      <w:r w:rsidR="00603708">
        <w:rPr>
          <w:lang w:val="fr-FR"/>
        </w:rPr>
        <w:t>’</w:t>
      </w:r>
      <w:r w:rsidR="00730D47" w:rsidRPr="00730D47">
        <w:rPr>
          <w:lang w:val="fr-FR"/>
        </w:rPr>
        <w:t>école Diaz-Pertini</w:t>
      </w:r>
      <w:r w:rsidR="00730D47" w:rsidRPr="00730D47">
        <w:rPr>
          <w:i/>
          <w:lang w:val="fr-FR"/>
        </w:rPr>
        <w:t xml:space="preserve"> </w:t>
      </w:r>
      <w:r w:rsidR="00730D47" w:rsidRPr="00730D47">
        <w:rPr>
          <w:lang w:val="fr-FR"/>
        </w:rPr>
        <w:t>se seraient faites au cours des accrochages de la journée (jugement de première instance, pp. 170-172).</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42</w:t>
      </w:r>
      <w:r>
        <w:rPr>
          <w:lang w:val="fr-FR"/>
        </w:rPr>
        <w:fldChar w:fldCharType="end"/>
      </w:r>
      <w:r>
        <w:rPr>
          <w:lang w:val="fr-FR"/>
        </w:rPr>
        <w:t>.  </w:t>
      </w:r>
      <w:r w:rsidR="00730D47" w:rsidRPr="00730D47">
        <w:rPr>
          <w:lang w:val="fr-FR"/>
        </w:rPr>
        <w:t>Le lendemain, à la préfecture de police</w:t>
      </w:r>
      <w:r w:rsidR="00730D47" w:rsidRPr="00730D47">
        <w:rPr>
          <w:i/>
          <w:lang w:val="fr-FR"/>
        </w:rPr>
        <w:t xml:space="preserve"> </w:t>
      </w:r>
      <w:r w:rsidR="00730D47" w:rsidRPr="00730D47">
        <w:rPr>
          <w:lang w:val="fr-FR"/>
        </w:rPr>
        <w:t xml:space="preserve">de Gênes, la police montra à la presse les objets saisis lors de la perquisition, </w:t>
      </w:r>
      <w:r w:rsidR="008B20DD">
        <w:rPr>
          <w:lang w:val="fr-FR"/>
        </w:rPr>
        <w:t>dont</w:t>
      </w:r>
      <w:r w:rsidR="00730D47" w:rsidRPr="00730D47">
        <w:rPr>
          <w:lang w:val="fr-FR"/>
        </w:rPr>
        <w:t xml:space="preserve"> deux cocktails Molotov. La tenue d</w:t>
      </w:r>
      <w:r w:rsidR="00603708">
        <w:rPr>
          <w:lang w:val="fr-FR"/>
        </w:rPr>
        <w:t>’</w:t>
      </w:r>
      <w:r w:rsidR="00730D47" w:rsidRPr="00730D47">
        <w:rPr>
          <w:lang w:val="fr-FR"/>
        </w:rPr>
        <w:t>un agent, qui avait participé à l</w:t>
      </w:r>
      <w:r w:rsidR="00603708">
        <w:rPr>
          <w:lang w:val="fr-FR"/>
        </w:rPr>
        <w:t>’</w:t>
      </w:r>
      <w:r w:rsidR="00730D47" w:rsidRPr="00730D47">
        <w:rPr>
          <w:lang w:val="fr-FR"/>
        </w:rPr>
        <w:t>irruption dans l</w:t>
      </w:r>
      <w:r w:rsidR="00603708">
        <w:rPr>
          <w:lang w:val="fr-FR"/>
        </w:rPr>
        <w:t>’</w:t>
      </w:r>
      <w:r w:rsidR="00730D47" w:rsidRPr="00730D47">
        <w:rPr>
          <w:lang w:val="fr-FR"/>
        </w:rPr>
        <w:t>école Diaz-Pertini, fut également montrée ; elle présentait une déchirure nette qui pouvait avoir été causée par un coup de couteau (</w:t>
      </w:r>
      <w:r w:rsidR="00730D47" w:rsidRPr="00730D47">
        <w:rPr>
          <w:i/>
          <w:lang w:val="fr-FR"/>
        </w:rPr>
        <w:t>ibidem</w:t>
      </w:r>
      <w:r w:rsidR="00730D47" w:rsidRPr="00730D47">
        <w:rPr>
          <w:lang w:val="fr-FR"/>
        </w:rPr>
        <w:t>).</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43</w:t>
      </w:r>
      <w:r>
        <w:rPr>
          <w:lang w:val="fr-FR"/>
        </w:rPr>
        <w:fldChar w:fldCharType="end"/>
      </w:r>
      <w:r>
        <w:rPr>
          <w:lang w:val="fr-FR"/>
        </w:rPr>
        <w:t>.  </w:t>
      </w:r>
      <w:r w:rsidR="00730D47" w:rsidRPr="00730D47">
        <w:rPr>
          <w:lang w:val="fr-FR"/>
        </w:rPr>
        <w:t>Les poursuites engagées contre les occupants des chefs d</w:t>
      </w:r>
      <w:r w:rsidR="00603708">
        <w:rPr>
          <w:lang w:val="fr-FR"/>
        </w:rPr>
        <w:t>’</w:t>
      </w:r>
      <w:r w:rsidR="00730D47" w:rsidRPr="00730D47">
        <w:rPr>
          <w:lang w:val="fr-FR"/>
        </w:rPr>
        <w:t>association de malfaiteurs visant au saccage et à la dévastation, de résistance aggravée aux forces de l</w:t>
      </w:r>
      <w:r w:rsidR="00603708">
        <w:rPr>
          <w:lang w:val="fr-FR"/>
        </w:rPr>
        <w:t>’</w:t>
      </w:r>
      <w:r w:rsidR="00730D47" w:rsidRPr="00730D47">
        <w:rPr>
          <w:lang w:val="fr-FR"/>
        </w:rPr>
        <w:t>ordre et de port abusif d</w:t>
      </w:r>
      <w:r w:rsidR="00603708">
        <w:rPr>
          <w:lang w:val="fr-FR"/>
        </w:rPr>
        <w:t>’</w:t>
      </w:r>
      <w:r w:rsidR="00730D47" w:rsidRPr="00730D47">
        <w:rPr>
          <w:lang w:val="fr-FR"/>
        </w:rPr>
        <w:t>armes ont abouti à l</w:t>
      </w:r>
      <w:r w:rsidR="00603708">
        <w:rPr>
          <w:lang w:val="fr-FR"/>
        </w:rPr>
        <w:t>’</w:t>
      </w:r>
      <w:r w:rsidR="00730D47" w:rsidRPr="00730D47">
        <w:rPr>
          <w:lang w:val="fr-FR"/>
        </w:rPr>
        <w:t>acquittement des intéressés.</w:t>
      </w:r>
    </w:p>
    <w:p w:rsidR="00730D47" w:rsidRPr="009C06F2" w:rsidRDefault="009C06F2" w:rsidP="009C06F2">
      <w:pPr>
        <w:pStyle w:val="ECHRHeading2"/>
        <w:rPr>
          <w:rStyle w:val="JuHaChar"/>
          <w:b/>
          <w:sz w:val="24"/>
          <w:szCs w:val="24"/>
          <w:lang w:val="fr-FR"/>
        </w:rPr>
      </w:pPr>
      <w:r w:rsidRPr="009C06F2">
        <w:rPr>
          <w:rStyle w:val="JuHaChar"/>
          <w:b/>
          <w:sz w:val="24"/>
          <w:szCs w:val="24"/>
          <w:lang w:val="fr-FR"/>
        </w:rPr>
        <w:t>G</w:t>
      </w:r>
      <w:r w:rsidR="00730D47" w:rsidRPr="009C06F2">
        <w:rPr>
          <w:rStyle w:val="JuHaChar"/>
          <w:b/>
          <w:sz w:val="24"/>
          <w:szCs w:val="24"/>
          <w:lang w:val="fr-FR"/>
        </w:rPr>
        <w:t>.  La procédure pénale engagée contre des membres des forces de l</w:t>
      </w:r>
      <w:r w:rsidR="00603708">
        <w:rPr>
          <w:rStyle w:val="JuHaChar"/>
          <w:b/>
          <w:sz w:val="24"/>
          <w:szCs w:val="24"/>
          <w:lang w:val="fr-FR"/>
        </w:rPr>
        <w:t>’</w:t>
      </w:r>
      <w:r w:rsidR="00730D47" w:rsidRPr="009C06F2">
        <w:rPr>
          <w:rStyle w:val="JuHaChar"/>
          <w:b/>
          <w:sz w:val="24"/>
          <w:szCs w:val="24"/>
          <w:lang w:val="fr-FR"/>
        </w:rPr>
        <w:t>ordre pour l</w:t>
      </w:r>
      <w:r w:rsidR="00603708">
        <w:rPr>
          <w:rStyle w:val="JuHaChar"/>
          <w:b/>
          <w:sz w:val="24"/>
          <w:szCs w:val="24"/>
          <w:lang w:val="fr-FR"/>
        </w:rPr>
        <w:t>’</w:t>
      </w:r>
      <w:r w:rsidR="00730D47" w:rsidRPr="009C06F2">
        <w:rPr>
          <w:rStyle w:val="JuHaChar"/>
          <w:b/>
          <w:sz w:val="24"/>
          <w:szCs w:val="24"/>
          <w:lang w:val="fr-FR"/>
        </w:rPr>
        <w:t>irruption dans les écoles Diaz-Pertini et Pascoli</w:t>
      </w:r>
    </w:p>
    <w:p w:rsidR="00730D47" w:rsidRPr="00730D47" w:rsidRDefault="002709C6"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44</w:t>
      </w:r>
      <w:r>
        <w:rPr>
          <w:lang w:val="fr-FR"/>
        </w:rPr>
        <w:fldChar w:fldCharType="end"/>
      </w:r>
      <w:r>
        <w:rPr>
          <w:lang w:val="fr-FR"/>
        </w:rPr>
        <w:t>.  </w:t>
      </w:r>
      <w:r w:rsidR="00730D47" w:rsidRPr="00730D47">
        <w:rPr>
          <w:lang w:val="fr-FR"/>
        </w:rPr>
        <w:t>Le parquet de Gênes ouvrit une enquête en vue d</w:t>
      </w:r>
      <w:r w:rsidR="00603708">
        <w:rPr>
          <w:lang w:val="fr-FR"/>
        </w:rPr>
        <w:t>’</w:t>
      </w:r>
      <w:r w:rsidR="00730D47" w:rsidRPr="00730D47">
        <w:rPr>
          <w:lang w:val="fr-FR"/>
        </w:rPr>
        <w:t>établir les éléments sur lesquels s</w:t>
      </w:r>
      <w:r w:rsidR="00603708">
        <w:rPr>
          <w:lang w:val="fr-FR"/>
        </w:rPr>
        <w:t>’</w:t>
      </w:r>
      <w:r w:rsidR="00730D47" w:rsidRPr="00730D47">
        <w:rPr>
          <w:lang w:val="fr-FR"/>
        </w:rPr>
        <w:t>était fondée la décision de faire irruption dans l</w:t>
      </w:r>
      <w:r w:rsidR="00603708">
        <w:rPr>
          <w:lang w:val="fr-FR"/>
        </w:rPr>
        <w:t>’</w:t>
      </w:r>
      <w:r w:rsidR="00730D47" w:rsidRPr="00730D47">
        <w:rPr>
          <w:lang w:val="fr-FR"/>
        </w:rPr>
        <w:t xml:space="preserve">école Diaz-Pertini, </w:t>
      </w:r>
      <w:r w:rsidR="008B20DD">
        <w:rPr>
          <w:lang w:val="fr-FR"/>
        </w:rPr>
        <w:t>et d</w:t>
      </w:r>
      <w:r w:rsidR="00603708">
        <w:rPr>
          <w:lang w:val="fr-FR"/>
        </w:rPr>
        <w:t>’</w:t>
      </w:r>
      <w:r w:rsidR="008B20DD">
        <w:rPr>
          <w:lang w:val="fr-FR"/>
        </w:rPr>
        <w:t>éclairci</w:t>
      </w:r>
      <w:r w:rsidR="00DA6887">
        <w:rPr>
          <w:lang w:val="fr-FR"/>
        </w:rPr>
        <w:t>r</w:t>
      </w:r>
      <w:r w:rsidR="008B20DD">
        <w:rPr>
          <w:lang w:val="fr-FR"/>
        </w:rPr>
        <w:t xml:space="preserve"> </w:t>
      </w:r>
      <w:r w:rsidR="00730D47" w:rsidRPr="00730D47">
        <w:rPr>
          <w:lang w:val="fr-FR"/>
        </w:rPr>
        <w:t>les modalités d</w:t>
      </w:r>
      <w:r w:rsidR="00603708">
        <w:rPr>
          <w:lang w:val="fr-FR"/>
        </w:rPr>
        <w:t>’</w:t>
      </w:r>
      <w:r w:rsidR="00730D47" w:rsidRPr="00730D47">
        <w:rPr>
          <w:lang w:val="fr-FR"/>
        </w:rPr>
        <w:t>exécution de l</w:t>
      </w:r>
      <w:r w:rsidR="00603708">
        <w:rPr>
          <w:lang w:val="fr-FR"/>
        </w:rPr>
        <w:t>’</w:t>
      </w:r>
      <w:r w:rsidR="00730D47" w:rsidRPr="00730D47">
        <w:rPr>
          <w:lang w:val="fr-FR"/>
        </w:rPr>
        <w:t>opération, l</w:t>
      </w:r>
      <w:r w:rsidR="00603708">
        <w:rPr>
          <w:lang w:val="fr-FR"/>
        </w:rPr>
        <w:t>’</w:t>
      </w:r>
      <w:r w:rsidR="00730D47" w:rsidRPr="00730D47">
        <w:rPr>
          <w:lang w:val="fr-FR"/>
        </w:rPr>
        <w:t>agression au couteau qui aurait été perpétrée contre l</w:t>
      </w:r>
      <w:r w:rsidR="00603708">
        <w:rPr>
          <w:lang w:val="fr-FR"/>
        </w:rPr>
        <w:t>’</w:t>
      </w:r>
      <w:r w:rsidR="00730D47" w:rsidRPr="00730D47">
        <w:rPr>
          <w:lang w:val="fr-FR"/>
        </w:rPr>
        <w:t>un des agents et la découverte des cocktails Molotov, ainsi que les événements qui avaient eu lieu dans l</w:t>
      </w:r>
      <w:r w:rsidR="00603708">
        <w:rPr>
          <w:lang w:val="fr-FR"/>
        </w:rPr>
        <w:t>’</w:t>
      </w:r>
      <w:r w:rsidR="00730D47" w:rsidRPr="00730D47">
        <w:rPr>
          <w:lang w:val="fr-FR"/>
        </w:rPr>
        <w:t>école Pascoli.</w:t>
      </w:r>
    </w:p>
    <w:p w:rsidR="00730D47" w:rsidRPr="00730D47"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45</w:t>
      </w:r>
      <w:r>
        <w:rPr>
          <w:lang w:val="fr-FR"/>
        </w:rPr>
        <w:fldChar w:fldCharType="end"/>
      </w:r>
      <w:r>
        <w:rPr>
          <w:lang w:val="fr-FR"/>
        </w:rPr>
        <w:t>.  </w:t>
      </w:r>
      <w:r w:rsidR="00730D47" w:rsidRPr="00730D47">
        <w:rPr>
          <w:lang w:val="fr-FR"/>
        </w:rPr>
        <w:t>En décembre 2004, après environ trois ans d</w:t>
      </w:r>
      <w:r w:rsidR="00603708">
        <w:rPr>
          <w:lang w:val="fr-FR"/>
        </w:rPr>
        <w:t>’</w:t>
      </w:r>
      <w:r w:rsidR="00730D47" w:rsidRPr="00730D47">
        <w:rPr>
          <w:lang w:val="fr-FR"/>
        </w:rPr>
        <w:t>investigations, vingt-huit personnes parmi les fonctionnaires, cadres et agents des forces de l</w:t>
      </w:r>
      <w:r w:rsidR="00603708">
        <w:rPr>
          <w:lang w:val="fr-FR"/>
        </w:rPr>
        <w:t>’</w:t>
      </w:r>
      <w:r w:rsidR="00730D47" w:rsidRPr="00730D47">
        <w:rPr>
          <w:lang w:val="fr-FR"/>
        </w:rPr>
        <w:t>ordre furent renvoyées en jugement. Par la suite, deux autres procédures, concernant trois autres agents, furent jointes à la première.</w:t>
      </w:r>
    </w:p>
    <w:p w:rsidR="0032468C"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46</w:t>
      </w:r>
      <w:r>
        <w:rPr>
          <w:lang w:val="fr-FR"/>
        </w:rPr>
        <w:fldChar w:fldCharType="end"/>
      </w:r>
      <w:r>
        <w:rPr>
          <w:lang w:val="fr-FR"/>
        </w:rPr>
        <w:t>.  </w:t>
      </w:r>
      <w:r w:rsidR="00730D47" w:rsidRPr="00730D47">
        <w:rPr>
          <w:lang w:val="fr-FR"/>
        </w:rPr>
        <w:t xml:space="preserve">Le requérant </w:t>
      </w:r>
      <w:r w:rsidR="00336A81">
        <w:rPr>
          <w:lang w:val="fr-FR"/>
        </w:rPr>
        <w:t>s</w:t>
      </w:r>
      <w:r w:rsidR="00603708">
        <w:rPr>
          <w:lang w:val="fr-FR"/>
        </w:rPr>
        <w:t>’</w:t>
      </w:r>
      <w:r w:rsidR="00336A81">
        <w:rPr>
          <w:lang w:val="fr-FR"/>
        </w:rPr>
        <w:t>était constitué partie civile à l</w:t>
      </w:r>
      <w:r w:rsidR="00603708">
        <w:rPr>
          <w:lang w:val="fr-FR"/>
        </w:rPr>
        <w:t>’</w:t>
      </w:r>
      <w:r w:rsidR="00336A81">
        <w:rPr>
          <w:lang w:val="fr-FR"/>
        </w:rPr>
        <w:t>audience préliminaire du 3 juillet 2004. Au total, le parties civiles, dont d</w:t>
      </w:r>
      <w:r w:rsidR="00730D47" w:rsidRPr="00730D47">
        <w:rPr>
          <w:lang w:val="fr-FR"/>
        </w:rPr>
        <w:t>es dizaines d</w:t>
      </w:r>
      <w:r w:rsidR="00603708">
        <w:rPr>
          <w:lang w:val="fr-FR"/>
        </w:rPr>
        <w:t>’</w:t>
      </w:r>
      <w:r w:rsidR="00730D47" w:rsidRPr="00730D47">
        <w:rPr>
          <w:lang w:val="fr-FR"/>
        </w:rPr>
        <w:t>occupants</w:t>
      </w:r>
      <w:r w:rsidR="00382AFD">
        <w:rPr>
          <w:lang w:val="fr-FR"/>
        </w:rPr>
        <w:t xml:space="preserve"> italiens et étrangers</w:t>
      </w:r>
      <w:r w:rsidR="00730D47" w:rsidRPr="00730D47">
        <w:rPr>
          <w:lang w:val="fr-FR"/>
        </w:rPr>
        <w:t xml:space="preserve"> des deux écoles ainsi que des syndicats et d</w:t>
      </w:r>
      <w:r w:rsidR="00603708">
        <w:rPr>
          <w:lang w:val="fr-FR"/>
        </w:rPr>
        <w:t>’</w:t>
      </w:r>
      <w:r w:rsidR="00730D47" w:rsidRPr="00730D47">
        <w:rPr>
          <w:lang w:val="fr-FR"/>
        </w:rPr>
        <w:t>autres associations non gouvernementales</w:t>
      </w:r>
      <w:r w:rsidR="00336A81">
        <w:rPr>
          <w:lang w:val="fr-FR"/>
        </w:rPr>
        <w:t xml:space="preserve">, </w:t>
      </w:r>
      <w:r w:rsidR="00940E04">
        <w:rPr>
          <w:lang w:val="fr-FR"/>
        </w:rPr>
        <w:t xml:space="preserve">étaient au nombre de </w:t>
      </w:r>
      <w:r w:rsidR="007772B7">
        <w:rPr>
          <w:lang w:val="fr-FR"/>
        </w:rPr>
        <w:t>cent dix-neuf</w:t>
      </w:r>
      <w:r w:rsidR="00784CA6">
        <w:rPr>
          <w:lang w:val="fr-FR"/>
        </w:rPr>
        <w:t>.</w:t>
      </w:r>
    </w:p>
    <w:p w:rsidR="0032468C" w:rsidRDefault="009C06F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47</w:t>
      </w:r>
      <w:r>
        <w:rPr>
          <w:lang w:val="fr-FR"/>
        </w:rPr>
        <w:fldChar w:fldCharType="end"/>
      </w:r>
      <w:r>
        <w:rPr>
          <w:lang w:val="fr-FR"/>
        </w:rPr>
        <w:t>.  </w:t>
      </w:r>
      <w:r w:rsidR="00730D47" w:rsidRPr="00730D47">
        <w:rPr>
          <w:lang w:val="fr-FR"/>
        </w:rPr>
        <w:t>Cette procédure porta sur les événements de l</w:t>
      </w:r>
      <w:r w:rsidR="00603708">
        <w:rPr>
          <w:lang w:val="fr-FR"/>
        </w:rPr>
        <w:t>’</w:t>
      </w:r>
      <w:r w:rsidR="00730D47" w:rsidRPr="00730D47">
        <w:rPr>
          <w:lang w:val="fr-FR"/>
        </w:rPr>
        <w:t>école Diaz-Pertini, lieu d</w:t>
      </w:r>
      <w:r w:rsidR="00603708">
        <w:rPr>
          <w:lang w:val="fr-FR"/>
        </w:rPr>
        <w:t>’</w:t>
      </w:r>
      <w:r w:rsidR="00730D47" w:rsidRPr="00730D47">
        <w:rPr>
          <w:lang w:val="fr-FR"/>
        </w:rPr>
        <w:t>hébergement du requérant (</w:t>
      </w:r>
      <w:r w:rsidR="00730D47" w:rsidRPr="008B6BC3">
        <w:rPr>
          <w:lang w:val="fr-FR"/>
        </w:rPr>
        <w:t xml:space="preserve">paragraphes </w:t>
      </w:r>
      <w:r w:rsidR="008B6BC3">
        <w:rPr>
          <w:lang w:val="fr-FR"/>
        </w:rPr>
        <w:t>31-34</w:t>
      </w:r>
      <w:r w:rsidR="00730D47" w:rsidRPr="00AC0DAF">
        <w:rPr>
          <w:lang w:val="fr-FR"/>
        </w:rPr>
        <w:t xml:space="preserve"> ci-dessus</w:t>
      </w:r>
      <w:r w:rsidR="00730D47" w:rsidRPr="00730D47">
        <w:rPr>
          <w:lang w:val="fr-FR"/>
        </w:rPr>
        <w:t>), et sur ceux de l</w:t>
      </w:r>
      <w:r w:rsidR="00603708">
        <w:rPr>
          <w:lang w:val="fr-FR"/>
        </w:rPr>
        <w:t>’</w:t>
      </w:r>
      <w:r w:rsidR="00730D47" w:rsidRPr="00730D47">
        <w:rPr>
          <w:lang w:val="fr-FR"/>
        </w:rPr>
        <w:t>école Pascoli</w:t>
      </w:r>
      <w:r w:rsidR="008B6BC3">
        <w:rPr>
          <w:lang w:val="fr-FR"/>
        </w:rPr>
        <w:t xml:space="preserve"> (paragraphes 36 et 37 ci-dessus)</w:t>
      </w:r>
      <w:r w:rsidR="00730D47" w:rsidRPr="00730D47">
        <w:rPr>
          <w:lang w:val="fr-FR"/>
        </w:rPr>
        <w:t>.</w:t>
      </w:r>
      <w:r w:rsidR="00E708CA">
        <w:rPr>
          <w:lang w:val="fr-FR"/>
        </w:rPr>
        <w:t xml:space="preserve"> Elle comporta l</w:t>
      </w:r>
      <w:r w:rsidR="00603708">
        <w:rPr>
          <w:lang w:val="fr-FR"/>
        </w:rPr>
        <w:t>’</w:t>
      </w:r>
      <w:r w:rsidR="00E708CA">
        <w:rPr>
          <w:lang w:val="fr-FR"/>
        </w:rPr>
        <w:t>audition de plus de trois cents personnes</w:t>
      </w:r>
      <w:r w:rsidR="00FA11C1">
        <w:rPr>
          <w:lang w:val="fr-FR"/>
        </w:rPr>
        <w:t xml:space="preserve"> parmi les</w:t>
      </w:r>
      <w:r w:rsidR="00E708CA">
        <w:rPr>
          <w:lang w:val="fr-FR"/>
        </w:rPr>
        <w:t xml:space="preserve"> accusés et </w:t>
      </w:r>
      <w:r w:rsidR="00FA11C1">
        <w:rPr>
          <w:lang w:val="fr-FR"/>
        </w:rPr>
        <w:t xml:space="preserve">les </w:t>
      </w:r>
      <w:r w:rsidR="00E708CA">
        <w:rPr>
          <w:lang w:val="fr-FR"/>
        </w:rPr>
        <w:t>témoins (dont</w:t>
      </w:r>
      <w:r w:rsidR="00895FC8">
        <w:rPr>
          <w:lang w:val="fr-FR"/>
        </w:rPr>
        <w:t> </w:t>
      </w:r>
      <w:r w:rsidR="00E708CA">
        <w:rPr>
          <w:lang w:val="fr-FR"/>
        </w:rPr>
        <w:t>beaucoup d</w:t>
      </w:r>
      <w:r w:rsidR="00603708">
        <w:rPr>
          <w:lang w:val="fr-FR"/>
        </w:rPr>
        <w:t>’</w:t>
      </w:r>
      <w:r w:rsidR="00E708CA">
        <w:rPr>
          <w:lang w:val="fr-FR"/>
        </w:rPr>
        <w:t>étrangers), deux expertises et l</w:t>
      </w:r>
      <w:r w:rsidR="00603708">
        <w:rPr>
          <w:lang w:val="fr-FR"/>
        </w:rPr>
        <w:t>’</w:t>
      </w:r>
      <w:r w:rsidR="00E708CA">
        <w:rPr>
          <w:lang w:val="fr-FR"/>
        </w:rPr>
        <w:t>examen d</w:t>
      </w:r>
      <w:r w:rsidR="00603708">
        <w:rPr>
          <w:lang w:val="fr-FR"/>
        </w:rPr>
        <w:t>’</w:t>
      </w:r>
      <w:r w:rsidR="00940E04">
        <w:rPr>
          <w:lang w:val="fr-FR"/>
        </w:rPr>
        <w:t>un abondant</w:t>
      </w:r>
      <w:r w:rsidR="00E708CA">
        <w:rPr>
          <w:lang w:val="fr-FR"/>
        </w:rPr>
        <w:t xml:space="preserve"> matériel audio-visuel.</w:t>
      </w:r>
    </w:p>
    <w:p w:rsidR="00730D47" w:rsidRPr="00730D47" w:rsidRDefault="00450AE2" w:rsidP="00450AE2">
      <w:pPr>
        <w:pStyle w:val="ECHRHeading3"/>
        <w:rPr>
          <w:lang w:val="fr-FR"/>
        </w:rPr>
      </w:pPr>
      <w:r>
        <w:rPr>
          <w:lang w:val="fr-FR"/>
        </w:rPr>
        <w:t>1.</w:t>
      </w:r>
      <w:bookmarkStart w:id="4" w:name="OLE_LINK6"/>
      <w:bookmarkStart w:id="5" w:name="OLE_LINK7"/>
      <w:r>
        <w:rPr>
          <w:lang w:val="fr-FR"/>
        </w:rPr>
        <w:t> </w:t>
      </w:r>
      <w:r w:rsidR="00940E04">
        <w:rPr>
          <w:lang w:val="fr-FR"/>
        </w:rPr>
        <w:t> </w:t>
      </w:r>
      <w:r w:rsidR="00730D47" w:rsidRPr="00730D47">
        <w:rPr>
          <w:lang w:val="fr-FR"/>
        </w:rPr>
        <w:t>Sur les événements de l</w:t>
      </w:r>
      <w:r w:rsidR="00603708">
        <w:rPr>
          <w:lang w:val="fr-FR"/>
        </w:rPr>
        <w:t>’</w:t>
      </w:r>
      <w:r w:rsidR="00730D47" w:rsidRPr="00730D47">
        <w:rPr>
          <w:lang w:val="fr-FR"/>
        </w:rPr>
        <w:t>école Diaz-Pertini</w:t>
      </w:r>
      <w:bookmarkEnd w:id="4"/>
      <w:bookmarkEnd w:id="5"/>
    </w:p>
    <w:p w:rsidR="00730D47" w:rsidRPr="00730D47" w:rsidRDefault="00450AE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48</w:t>
      </w:r>
      <w:r>
        <w:rPr>
          <w:lang w:val="fr-FR"/>
        </w:rPr>
        <w:fldChar w:fldCharType="end"/>
      </w:r>
      <w:r>
        <w:rPr>
          <w:lang w:val="fr-FR"/>
        </w:rPr>
        <w:t>.  </w:t>
      </w:r>
      <w:r w:rsidR="00730D47" w:rsidRPr="00730D47">
        <w:rPr>
          <w:lang w:val="fr-FR"/>
        </w:rPr>
        <w:t>Les chefs d</w:t>
      </w:r>
      <w:r w:rsidR="00603708">
        <w:rPr>
          <w:lang w:val="fr-FR"/>
        </w:rPr>
        <w:t>’</w:t>
      </w:r>
      <w:r w:rsidR="00730D47" w:rsidRPr="00730D47">
        <w:rPr>
          <w:lang w:val="fr-FR"/>
        </w:rPr>
        <w:t>accusation retenus relativement aux événements de l</w:t>
      </w:r>
      <w:r w:rsidR="00603708">
        <w:rPr>
          <w:lang w:val="fr-FR"/>
        </w:rPr>
        <w:t>’</w:t>
      </w:r>
      <w:r w:rsidR="00730D47" w:rsidRPr="00730D47">
        <w:rPr>
          <w:lang w:val="fr-FR"/>
        </w:rPr>
        <w:t>école Diaz-Pertini furent les suivants : faux</w:t>
      </w:r>
      <w:r w:rsidR="008B6BC3">
        <w:rPr>
          <w:lang w:val="fr-FR"/>
        </w:rPr>
        <w:t xml:space="preserve"> intellectuel</w:t>
      </w:r>
      <w:r w:rsidR="00730D47" w:rsidRPr="00730D47">
        <w:rPr>
          <w:lang w:val="fr-FR"/>
        </w:rPr>
        <w:t>, calomnie simple et aggravée, abus d</w:t>
      </w:r>
      <w:r w:rsidR="00603708">
        <w:rPr>
          <w:lang w:val="fr-FR"/>
        </w:rPr>
        <w:t>’</w:t>
      </w:r>
      <w:r w:rsidR="00730D47" w:rsidRPr="00730D47">
        <w:rPr>
          <w:lang w:val="fr-FR"/>
        </w:rPr>
        <w:t>autorité publique (notamment du fait de l</w:t>
      </w:r>
      <w:r w:rsidR="00603708">
        <w:rPr>
          <w:lang w:val="fr-FR"/>
        </w:rPr>
        <w:t>’</w:t>
      </w:r>
      <w:r w:rsidR="00730D47" w:rsidRPr="00730D47">
        <w:rPr>
          <w:lang w:val="fr-FR"/>
        </w:rPr>
        <w:t>arrestation illégale des occupants), lésions corporelles simples et aggravées ainsi que port abusif d</w:t>
      </w:r>
      <w:r w:rsidR="00603708">
        <w:rPr>
          <w:lang w:val="fr-FR"/>
        </w:rPr>
        <w:t>’</w:t>
      </w:r>
      <w:r w:rsidR="00730D47" w:rsidRPr="00730D47">
        <w:rPr>
          <w:lang w:val="fr-FR"/>
        </w:rPr>
        <w:t>armes de guerre.</w:t>
      </w:r>
    </w:p>
    <w:p w:rsidR="00730D47" w:rsidRPr="00730D47" w:rsidRDefault="00450AE2" w:rsidP="00450AE2">
      <w:pPr>
        <w:pStyle w:val="ECHRHeading4"/>
        <w:rPr>
          <w:lang w:val="fr-FR"/>
        </w:rPr>
      </w:pPr>
      <w:r>
        <w:rPr>
          <w:lang w:val="fr-FR"/>
        </w:rPr>
        <w:t>a)</w:t>
      </w:r>
      <w:r w:rsidR="00730D47" w:rsidRPr="00730D47">
        <w:rPr>
          <w:lang w:val="fr-FR"/>
        </w:rPr>
        <w:t>  Le jugement de première instance</w:t>
      </w:r>
    </w:p>
    <w:p w:rsidR="0032468C" w:rsidRDefault="00450AE2" w:rsidP="00730D47">
      <w:pPr>
        <w:pStyle w:val="ECHRPara"/>
        <w:rPr>
          <w:lang w:val="fr-FR"/>
        </w:rPr>
      </w:pPr>
      <w:r w:rsidRPr="008616A5">
        <w:rPr>
          <w:lang w:val="fr-FR"/>
        </w:rPr>
        <w:fldChar w:fldCharType="begin"/>
      </w:r>
      <w:r w:rsidRPr="00ED0933">
        <w:rPr>
          <w:lang w:val="fr-FR"/>
        </w:rPr>
        <w:instrText xml:space="preserve"> SEQ level0 \*arabic </w:instrText>
      </w:r>
      <w:r w:rsidRPr="008616A5">
        <w:rPr>
          <w:lang w:val="fr-FR"/>
        </w:rPr>
        <w:fldChar w:fldCharType="separate"/>
      </w:r>
      <w:r w:rsidR="00B378F9">
        <w:rPr>
          <w:noProof/>
          <w:lang w:val="fr-FR"/>
        </w:rPr>
        <w:t>49</w:t>
      </w:r>
      <w:r w:rsidRPr="008616A5">
        <w:rPr>
          <w:lang w:val="fr-FR"/>
        </w:rPr>
        <w:fldChar w:fldCharType="end"/>
      </w:r>
      <w:r w:rsidRPr="00ED0933">
        <w:rPr>
          <w:lang w:val="fr-FR"/>
        </w:rPr>
        <w:t>.  </w:t>
      </w:r>
      <w:r w:rsidR="00730D47" w:rsidRPr="00ED0933">
        <w:rPr>
          <w:lang w:val="fr-FR"/>
        </w:rPr>
        <w:t>Par le jugement n</w:t>
      </w:r>
      <w:r w:rsidR="00730D47" w:rsidRPr="00ED0933">
        <w:rPr>
          <w:vertAlign w:val="superscript"/>
          <w:lang w:val="fr-FR"/>
        </w:rPr>
        <w:t>o</w:t>
      </w:r>
      <w:r w:rsidR="00730D47" w:rsidRPr="00ED0933">
        <w:rPr>
          <w:lang w:val="fr-FR"/>
        </w:rPr>
        <w:t xml:space="preserve"> 4252/08 du 13 novembre 2008, déposé le 11 février 2009, le tribunal de Gênes déclara douze des accusés coupables de délits de faux (un accusé), de calomnie simple (deux accusés) et de calomnie aggravée (un accusé), de lésions corporelles simples et aggravées (dix accusés) ainsi que de port abusif d</w:t>
      </w:r>
      <w:r w:rsidR="00603708">
        <w:rPr>
          <w:lang w:val="fr-FR"/>
        </w:rPr>
        <w:t>’</w:t>
      </w:r>
      <w:r w:rsidR="00730D47" w:rsidRPr="00ED0933">
        <w:rPr>
          <w:lang w:val="fr-FR"/>
        </w:rPr>
        <w:t>armes de guerre (deux accusés). Le</w:t>
      </w:r>
      <w:r w:rsidR="00E172E0">
        <w:rPr>
          <w:lang w:val="fr-FR"/>
        </w:rPr>
        <w:t> </w:t>
      </w:r>
      <w:r w:rsidR="00730D47" w:rsidRPr="00730D47">
        <w:rPr>
          <w:lang w:val="fr-FR"/>
        </w:rPr>
        <w:t>tribunal les condamna à des peines comprises entre deux et quatre ans d</w:t>
      </w:r>
      <w:r w:rsidR="00603708">
        <w:rPr>
          <w:lang w:val="fr-FR"/>
        </w:rPr>
        <w:t>’</w:t>
      </w:r>
      <w:r w:rsidR="00730D47" w:rsidRPr="00730D47">
        <w:rPr>
          <w:lang w:val="fr-FR"/>
        </w:rPr>
        <w:t>emprisonnement, à l</w:t>
      </w:r>
      <w:r w:rsidR="00603708">
        <w:rPr>
          <w:lang w:val="fr-FR"/>
        </w:rPr>
        <w:t>’</w:t>
      </w:r>
      <w:r w:rsidR="00730D47" w:rsidRPr="00730D47">
        <w:rPr>
          <w:lang w:val="fr-FR"/>
        </w:rPr>
        <w:t>interdiction d</w:t>
      </w:r>
      <w:r w:rsidR="00603708">
        <w:rPr>
          <w:lang w:val="fr-FR"/>
        </w:rPr>
        <w:t>’</w:t>
      </w:r>
      <w:r w:rsidR="00730D47" w:rsidRPr="00730D47">
        <w:rPr>
          <w:lang w:val="fr-FR"/>
        </w:rPr>
        <w:t>exercer des fonctions publiques pendant toute la durée de la peine principale ainsi que, solidairement avec le ministère de l</w:t>
      </w:r>
      <w:r w:rsidR="00603708">
        <w:rPr>
          <w:lang w:val="fr-FR"/>
        </w:rPr>
        <w:t>’</w:t>
      </w:r>
      <w:r w:rsidR="00730D47" w:rsidRPr="00730D47">
        <w:rPr>
          <w:lang w:val="fr-FR"/>
        </w:rPr>
        <w:t xml:space="preserve">Intérieur, au paiement des frais et dépens et au versement de dommages-intérêts aux parties civiles, auxquelles le tribunal accorda une provision </w:t>
      </w:r>
      <w:r w:rsidR="002861E3">
        <w:rPr>
          <w:lang w:val="fr-FR"/>
        </w:rPr>
        <w:t>pouvant aller</w:t>
      </w:r>
      <w:r w:rsidR="002861E3" w:rsidRPr="00730D47">
        <w:rPr>
          <w:lang w:val="fr-FR"/>
        </w:rPr>
        <w:t xml:space="preserve"> </w:t>
      </w:r>
      <w:r w:rsidR="00730D47" w:rsidRPr="00730D47">
        <w:rPr>
          <w:lang w:val="fr-FR"/>
        </w:rPr>
        <w:t xml:space="preserve">de 2 500 à 50 000 </w:t>
      </w:r>
      <w:r w:rsidR="00FA11C1">
        <w:rPr>
          <w:lang w:val="fr-FR"/>
        </w:rPr>
        <w:t>euros (</w:t>
      </w:r>
      <w:r w:rsidR="00730D47" w:rsidRPr="00730D47">
        <w:rPr>
          <w:lang w:val="fr-FR"/>
        </w:rPr>
        <w:t>EUR</w:t>
      </w:r>
      <w:r w:rsidR="00FA11C1">
        <w:rPr>
          <w:lang w:val="fr-FR"/>
        </w:rPr>
        <w:t>)</w:t>
      </w:r>
      <w:r w:rsidR="00730D47" w:rsidRPr="00730D47">
        <w:rPr>
          <w:lang w:val="fr-FR"/>
        </w:rPr>
        <w:t>.</w:t>
      </w:r>
    </w:p>
    <w:p w:rsidR="00730D47" w:rsidRPr="00730D47" w:rsidRDefault="00730D47" w:rsidP="00730D47">
      <w:pPr>
        <w:pStyle w:val="ECHRPara"/>
        <w:rPr>
          <w:lang w:val="fr-FR"/>
        </w:rPr>
      </w:pPr>
      <w:r w:rsidRPr="00730D47">
        <w:rPr>
          <w:lang w:val="fr-FR"/>
        </w:rPr>
        <w:t>Le requérant, en particulier, se vit accorder une provision de 35</w:t>
      </w:r>
      <w:r w:rsidR="00940E04">
        <w:rPr>
          <w:lang w:val="fr-FR"/>
        </w:rPr>
        <w:t> </w:t>
      </w:r>
      <w:r w:rsidR="00940E04" w:rsidRPr="00730D47">
        <w:rPr>
          <w:lang w:val="fr-FR"/>
        </w:rPr>
        <w:t>000</w:t>
      </w:r>
      <w:r w:rsidR="00940E04">
        <w:rPr>
          <w:lang w:val="fr-FR"/>
        </w:rPr>
        <w:t> </w:t>
      </w:r>
      <w:r w:rsidR="007C6A36">
        <w:rPr>
          <w:lang w:val="fr-FR"/>
        </w:rPr>
        <w:t xml:space="preserve">EUR, qui </w:t>
      </w:r>
      <w:r w:rsidR="005A349D">
        <w:rPr>
          <w:lang w:val="fr-FR"/>
        </w:rPr>
        <w:t>fut</w:t>
      </w:r>
      <w:r w:rsidR="007C6A36">
        <w:rPr>
          <w:lang w:val="fr-FR"/>
        </w:rPr>
        <w:t xml:space="preserve"> </w:t>
      </w:r>
      <w:r w:rsidR="00940E04">
        <w:rPr>
          <w:lang w:val="fr-FR"/>
        </w:rPr>
        <w:t xml:space="preserve">versée </w:t>
      </w:r>
      <w:r w:rsidR="007C6A36">
        <w:rPr>
          <w:lang w:val="fr-FR"/>
        </w:rPr>
        <w:t>en juillet 2009</w:t>
      </w:r>
      <w:r w:rsidR="00D93BBF">
        <w:rPr>
          <w:lang w:val="fr-FR"/>
        </w:rPr>
        <w:t xml:space="preserve"> </w:t>
      </w:r>
      <w:r w:rsidR="00940E04">
        <w:rPr>
          <w:lang w:val="fr-FR"/>
        </w:rPr>
        <w:t xml:space="preserve">à la </w:t>
      </w:r>
      <w:r w:rsidR="00D93BBF">
        <w:rPr>
          <w:lang w:val="fr-FR"/>
        </w:rPr>
        <w:t xml:space="preserve">suite </w:t>
      </w:r>
      <w:r w:rsidR="00940E04">
        <w:rPr>
          <w:lang w:val="fr-FR"/>
        </w:rPr>
        <w:t>d</w:t>
      </w:r>
      <w:r w:rsidR="00603708">
        <w:rPr>
          <w:lang w:val="fr-FR"/>
        </w:rPr>
        <w:t>’</w:t>
      </w:r>
      <w:r w:rsidR="00D93BBF">
        <w:rPr>
          <w:lang w:val="fr-FR"/>
        </w:rPr>
        <w:t>une saisie-arrêt</w:t>
      </w:r>
      <w:r w:rsidR="007C6A36">
        <w:rPr>
          <w:lang w:val="fr-FR"/>
        </w:rPr>
        <w:t>.</w:t>
      </w:r>
    </w:p>
    <w:p w:rsidR="00730D47" w:rsidRPr="00730D47" w:rsidRDefault="00450AE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50</w:t>
      </w:r>
      <w:r>
        <w:rPr>
          <w:lang w:val="fr-FR"/>
        </w:rPr>
        <w:fldChar w:fldCharType="end"/>
      </w:r>
      <w:r>
        <w:rPr>
          <w:lang w:val="fr-FR"/>
        </w:rPr>
        <w:t>.  </w:t>
      </w:r>
      <w:r w:rsidR="00D84FAF">
        <w:rPr>
          <w:lang w:val="fr-FR"/>
        </w:rPr>
        <w:t xml:space="preserve">Lors de </w:t>
      </w:r>
      <w:r w:rsidR="00F1607D">
        <w:rPr>
          <w:lang w:val="fr-FR"/>
        </w:rPr>
        <w:t>l</w:t>
      </w:r>
      <w:r w:rsidR="00D84FAF">
        <w:rPr>
          <w:lang w:val="fr-FR"/>
        </w:rPr>
        <w:t>a détermination des peines principales, le tribunal prit en compte, en tant que circonstances atténuantes,</w:t>
      </w:r>
      <w:r w:rsidR="00730D47" w:rsidRPr="00730D47">
        <w:rPr>
          <w:lang w:val="fr-FR"/>
        </w:rPr>
        <w:t xml:space="preserve"> le fait que les auteurs des délits avaient un casier judiciaire vierge et qu</w:t>
      </w:r>
      <w:r w:rsidR="00603708">
        <w:rPr>
          <w:lang w:val="fr-FR"/>
        </w:rPr>
        <w:t>’</w:t>
      </w:r>
      <w:r w:rsidR="00730D47" w:rsidRPr="00730D47">
        <w:rPr>
          <w:lang w:val="fr-FR"/>
        </w:rPr>
        <w:t>ils avaient agi en état de stress et de fatigue. Un condamné bénéficia de la suspension conditionnelle de la peine et de la non-mention dans le casier judiciaire. Par ailleurs, en application de la loi n</w:t>
      </w:r>
      <w:r w:rsidR="00730D47" w:rsidRPr="00730D47">
        <w:rPr>
          <w:vertAlign w:val="superscript"/>
          <w:lang w:val="fr-FR"/>
        </w:rPr>
        <w:t>o</w:t>
      </w:r>
      <w:r w:rsidR="00730D47" w:rsidRPr="00730D47">
        <w:rPr>
          <w:lang w:val="fr-FR"/>
        </w:rPr>
        <w:t xml:space="preserve"> 241 du 29 juillet 2006 établissant les conditions </w:t>
      </w:r>
      <w:r w:rsidR="00FA11C1">
        <w:rPr>
          <w:lang w:val="fr-FR"/>
        </w:rPr>
        <w:t>à remplir pour</w:t>
      </w:r>
      <w:r w:rsidR="00730D47" w:rsidRPr="00730D47">
        <w:rPr>
          <w:lang w:val="fr-FR"/>
        </w:rPr>
        <w:t xml:space="preserve"> l</w:t>
      </w:r>
      <w:r w:rsidR="00603708">
        <w:rPr>
          <w:lang w:val="fr-FR"/>
        </w:rPr>
        <w:t>’</w:t>
      </w:r>
      <w:r w:rsidR="00730D47" w:rsidRPr="00730D47">
        <w:rPr>
          <w:lang w:val="fr-FR"/>
        </w:rPr>
        <w:t>octroi d</w:t>
      </w:r>
      <w:r w:rsidR="00603708">
        <w:rPr>
          <w:lang w:val="fr-FR"/>
        </w:rPr>
        <w:t>’</w:t>
      </w:r>
      <w:r w:rsidR="00730D47" w:rsidRPr="00730D47">
        <w:rPr>
          <w:lang w:val="fr-FR"/>
        </w:rPr>
        <w:t>une remise générale des peines (</w:t>
      </w:r>
      <w:r w:rsidR="00730D47" w:rsidRPr="00730D47">
        <w:rPr>
          <w:rStyle w:val="ju-005fpara--char"/>
          <w:i/>
          <w:iCs/>
          <w:lang w:val="fr-FR"/>
        </w:rPr>
        <w:t>indulto</w:t>
      </w:r>
      <w:r w:rsidR="00730D47" w:rsidRPr="00730D47">
        <w:rPr>
          <w:lang w:val="fr-FR"/>
        </w:rPr>
        <w:t>), dix des condamnés bénéficièrent d</w:t>
      </w:r>
      <w:r w:rsidR="00603708">
        <w:rPr>
          <w:lang w:val="fr-FR"/>
        </w:rPr>
        <w:t>’</w:t>
      </w:r>
      <w:r w:rsidR="00730D47" w:rsidRPr="00730D47">
        <w:rPr>
          <w:lang w:val="fr-FR"/>
        </w:rPr>
        <w:t>une remise totale de leur peine principale et l</w:t>
      </w:r>
      <w:r w:rsidR="00603708">
        <w:rPr>
          <w:lang w:val="fr-FR"/>
        </w:rPr>
        <w:t>’</w:t>
      </w:r>
      <w:r w:rsidR="00730D47" w:rsidRPr="00730D47">
        <w:rPr>
          <w:lang w:val="fr-FR"/>
        </w:rPr>
        <w:t>un d</w:t>
      </w:r>
      <w:r w:rsidR="00603708">
        <w:rPr>
          <w:lang w:val="fr-FR"/>
        </w:rPr>
        <w:t>’</w:t>
      </w:r>
      <w:r w:rsidR="00730D47" w:rsidRPr="00730D47">
        <w:rPr>
          <w:lang w:val="fr-FR"/>
        </w:rPr>
        <w:t>eux, condamné à quatre ans d</w:t>
      </w:r>
      <w:r w:rsidR="00603708">
        <w:rPr>
          <w:lang w:val="fr-FR"/>
        </w:rPr>
        <w:t>’</w:t>
      </w:r>
      <w:r w:rsidR="00730D47" w:rsidRPr="00730D47">
        <w:rPr>
          <w:lang w:val="fr-FR"/>
        </w:rPr>
        <w:t>emprisonnement, bénéficia d</w:t>
      </w:r>
      <w:r w:rsidR="00603708">
        <w:rPr>
          <w:lang w:val="fr-FR"/>
        </w:rPr>
        <w:t>’</w:t>
      </w:r>
      <w:r w:rsidR="00730D47" w:rsidRPr="00730D47">
        <w:rPr>
          <w:lang w:val="fr-FR"/>
        </w:rPr>
        <w:t>une remise de peine de trois ans.</w:t>
      </w:r>
    </w:p>
    <w:p w:rsidR="00730D47" w:rsidRPr="00730D47" w:rsidRDefault="00450AE2"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51</w:t>
      </w:r>
      <w:r>
        <w:rPr>
          <w:lang w:val="fr-FR"/>
        </w:rPr>
        <w:fldChar w:fldCharType="end"/>
      </w:r>
      <w:r>
        <w:rPr>
          <w:lang w:val="fr-FR"/>
        </w:rPr>
        <w:t>.  </w:t>
      </w:r>
      <w:r w:rsidR="00D84FAF">
        <w:rPr>
          <w:lang w:val="fr-FR"/>
        </w:rPr>
        <w:t>Dans les motifs du jugement (</w:t>
      </w:r>
      <w:r w:rsidR="00483D52">
        <w:rPr>
          <w:lang w:val="fr-FR"/>
        </w:rPr>
        <w:t>373</w:t>
      </w:r>
      <w:r w:rsidR="00D84FAF">
        <w:rPr>
          <w:lang w:val="fr-FR"/>
        </w:rPr>
        <w:t xml:space="preserve"> pages </w:t>
      </w:r>
      <w:r w:rsidR="00E708CA">
        <w:rPr>
          <w:lang w:val="fr-FR"/>
        </w:rPr>
        <w:t xml:space="preserve">sur </w:t>
      </w:r>
      <w:r w:rsidR="00483D52">
        <w:rPr>
          <w:lang w:val="fr-FR"/>
        </w:rPr>
        <w:t>527</w:t>
      </w:r>
      <w:r w:rsidR="003F5BDD">
        <w:rPr>
          <w:lang w:val="fr-FR"/>
        </w:rPr>
        <w:t xml:space="preserve"> </w:t>
      </w:r>
      <w:r w:rsidR="008B214B">
        <w:rPr>
          <w:lang w:val="fr-FR"/>
        </w:rPr>
        <w:t>au total</w:t>
      </w:r>
      <w:r w:rsidR="00D84FAF">
        <w:rPr>
          <w:lang w:val="fr-FR"/>
        </w:rPr>
        <w:t xml:space="preserve">), </w:t>
      </w:r>
      <w:r w:rsidR="00730D47" w:rsidRPr="00730D47">
        <w:rPr>
          <w:lang w:val="fr-FR"/>
        </w:rPr>
        <w:t>le tribunal écarta</w:t>
      </w:r>
      <w:r w:rsidR="00D84FAF">
        <w:rPr>
          <w:lang w:val="fr-FR"/>
        </w:rPr>
        <w:t>, tout d</w:t>
      </w:r>
      <w:r w:rsidR="00603708">
        <w:rPr>
          <w:lang w:val="fr-FR"/>
        </w:rPr>
        <w:t>’</w:t>
      </w:r>
      <w:r w:rsidR="00D84FAF">
        <w:rPr>
          <w:lang w:val="fr-FR"/>
        </w:rPr>
        <w:t>abord,</w:t>
      </w:r>
      <w:r w:rsidR="00730D47" w:rsidRPr="00730D47">
        <w:rPr>
          <w:lang w:val="fr-FR"/>
        </w:rPr>
        <w:t xml:space="preserve"> la thèse selon laquelle l</w:t>
      </w:r>
      <w:r w:rsidR="00603708">
        <w:rPr>
          <w:lang w:val="fr-FR"/>
        </w:rPr>
        <w:t>’</w:t>
      </w:r>
      <w:r w:rsidR="00730D47" w:rsidRPr="00730D47">
        <w:rPr>
          <w:lang w:val="fr-FR"/>
        </w:rPr>
        <w:t>opération aurait été organisée dès l</w:t>
      </w:r>
      <w:r w:rsidR="00603708">
        <w:rPr>
          <w:lang w:val="fr-FR"/>
        </w:rPr>
        <w:t>’</w:t>
      </w:r>
      <w:r w:rsidR="00730D47" w:rsidRPr="00730D47">
        <w:rPr>
          <w:lang w:val="fr-FR"/>
        </w:rPr>
        <w:t>origine comme une expédition punitive contre les manifestants. Il dit admettre que les forces de l</w:t>
      </w:r>
      <w:r w:rsidR="00603708">
        <w:rPr>
          <w:lang w:val="fr-FR"/>
        </w:rPr>
        <w:t>’</w:t>
      </w:r>
      <w:r w:rsidR="00730D47" w:rsidRPr="00730D47">
        <w:rPr>
          <w:lang w:val="fr-FR"/>
        </w:rPr>
        <w:t>ordre pouvaient croire, à la lumière des événements qui avaient précédé l</w:t>
      </w:r>
      <w:r w:rsidR="00603708">
        <w:rPr>
          <w:lang w:val="fr-FR"/>
        </w:rPr>
        <w:t>’</w:t>
      </w:r>
      <w:r w:rsidR="00730D47" w:rsidRPr="00730D47">
        <w:rPr>
          <w:lang w:val="fr-FR"/>
        </w:rPr>
        <w:t>irruption (en particulier, les indications des habitants du quartier et l</w:t>
      </w:r>
      <w:r w:rsidR="00603708">
        <w:rPr>
          <w:lang w:val="fr-FR"/>
        </w:rPr>
        <w:t>’</w:t>
      </w:r>
      <w:r w:rsidR="00730D47" w:rsidRPr="00730D47">
        <w:rPr>
          <w:lang w:val="fr-FR"/>
        </w:rPr>
        <w:t>agression contre la patrouille dans l</w:t>
      </w:r>
      <w:r w:rsidR="00603708">
        <w:rPr>
          <w:lang w:val="fr-FR"/>
        </w:rPr>
        <w:t>’</w:t>
      </w:r>
      <w:r w:rsidR="00730D47" w:rsidRPr="00730D47">
        <w:rPr>
          <w:lang w:val="fr-FR"/>
        </w:rPr>
        <w:t xml:space="preserve">après-midi du 21 juillet – </w:t>
      </w:r>
      <w:r w:rsidR="00730D47" w:rsidRPr="00AC0DAF">
        <w:rPr>
          <w:lang w:val="fr-FR"/>
        </w:rPr>
        <w:t xml:space="preserve">paragraphes </w:t>
      </w:r>
      <w:r w:rsidR="00382AFD" w:rsidRPr="00AC0DAF">
        <w:rPr>
          <w:lang w:val="fr-FR"/>
        </w:rPr>
        <w:t>26-27</w:t>
      </w:r>
      <w:r w:rsidR="00730D47" w:rsidRPr="00AC0DAF">
        <w:rPr>
          <w:lang w:val="fr-FR"/>
        </w:rPr>
        <w:t xml:space="preserve"> ci-dessus</w:t>
      </w:r>
      <w:r w:rsidR="00730D47" w:rsidRPr="00730D47">
        <w:rPr>
          <w:lang w:val="fr-FR"/>
        </w:rPr>
        <w:t>), que l</w:t>
      </w:r>
      <w:r w:rsidR="00603708">
        <w:rPr>
          <w:lang w:val="fr-FR"/>
        </w:rPr>
        <w:t>’</w:t>
      </w:r>
      <w:r w:rsidR="00730D47" w:rsidRPr="00730D47">
        <w:rPr>
          <w:lang w:val="fr-FR"/>
        </w:rPr>
        <w:t>école Diaz-Pertini hébergeait aussi des black blocks. Il estima cependant que les événements litigieux constituaient une violation claire à la fois de la loi, «</w:t>
      </w:r>
      <w:r w:rsidR="00FA11C1">
        <w:rPr>
          <w:lang w:val="fr-FR"/>
        </w:rPr>
        <w:t> </w:t>
      </w:r>
      <w:r w:rsidR="00730D47" w:rsidRPr="00730D47">
        <w:rPr>
          <w:lang w:val="fr-FR"/>
        </w:rPr>
        <w:t>de la dignité humaine et du respect de la personne » (</w:t>
      </w:r>
      <w:r w:rsidR="00730D47" w:rsidRPr="00730D47">
        <w:rPr>
          <w:i/>
          <w:lang w:val="fr-FR"/>
        </w:rPr>
        <w:t>di ogni principio di umanità e di rispetto delle persone</w:t>
      </w:r>
      <w:r w:rsidR="00730D47" w:rsidRPr="00730D47">
        <w:rPr>
          <w:lang w:val="fr-FR"/>
        </w:rPr>
        <w:t>). En effet, selon lui, même en présence de black blocks, les forces de l</w:t>
      </w:r>
      <w:r w:rsidR="00603708">
        <w:rPr>
          <w:lang w:val="fr-FR"/>
        </w:rPr>
        <w:t>’</w:t>
      </w:r>
      <w:r w:rsidR="00730D47" w:rsidRPr="00730D47">
        <w:rPr>
          <w:lang w:val="fr-FR"/>
        </w:rPr>
        <w:t>ordre n</w:t>
      </w:r>
      <w:r w:rsidR="00603708">
        <w:rPr>
          <w:lang w:val="fr-FR"/>
        </w:rPr>
        <w:t>’</w:t>
      </w:r>
      <w:r w:rsidR="00730D47" w:rsidRPr="00730D47">
        <w:rPr>
          <w:lang w:val="fr-FR"/>
        </w:rPr>
        <w:t>étaient autorisées à utiliser la force que dans la mesure où l</w:t>
      </w:r>
      <w:r w:rsidR="00603708">
        <w:rPr>
          <w:lang w:val="fr-FR"/>
        </w:rPr>
        <w:t>’</w:t>
      </w:r>
      <w:r w:rsidR="00730D47" w:rsidRPr="00730D47">
        <w:rPr>
          <w:lang w:val="fr-FR"/>
        </w:rPr>
        <w:t>emploi de celle-ci aurait été nécessaire pour vaincre la résistance violente des occupants</w:t>
      </w:r>
      <w:r w:rsidR="00FA11C1">
        <w:rPr>
          <w:lang w:val="fr-FR"/>
        </w:rPr>
        <w:t>,</w:t>
      </w:r>
      <w:r w:rsidR="00730D47" w:rsidRPr="00730D47">
        <w:rPr>
          <w:lang w:val="fr-FR"/>
        </w:rPr>
        <w:t xml:space="preserve"> et</w:t>
      </w:r>
      <w:r w:rsidR="007D3855">
        <w:rPr>
          <w:lang w:val="fr-FR"/>
        </w:rPr>
        <w:t xml:space="preserve"> </w:t>
      </w:r>
      <w:r w:rsidR="005A7825">
        <w:rPr>
          <w:lang w:val="fr-FR"/>
        </w:rPr>
        <w:t>ce sous</w:t>
      </w:r>
      <w:r w:rsidR="00730D47" w:rsidRPr="00730D47">
        <w:rPr>
          <w:lang w:val="fr-FR"/>
        </w:rPr>
        <w:t xml:space="preserve"> réserve de respecter un rapport de proportionnalité entre la résistance rencontrée et les moyens utilisés. Or,</w:t>
      </w:r>
      <w:r w:rsidR="00E172E0">
        <w:rPr>
          <w:lang w:val="fr-FR"/>
        </w:rPr>
        <w:t> </w:t>
      </w:r>
      <w:r w:rsidR="00730D47" w:rsidRPr="00730D47">
        <w:rPr>
          <w:lang w:val="fr-FR"/>
        </w:rPr>
        <w:t>souligna le tribunal, ni le requérant ni, par exemple, une autre occupante qui était de petite stature</w:t>
      </w:r>
      <w:r w:rsidR="007D3855">
        <w:rPr>
          <w:lang w:val="fr-FR"/>
        </w:rPr>
        <w:t xml:space="preserve"> </w:t>
      </w:r>
      <w:r w:rsidR="00730D47" w:rsidRPr="00730D47">
        <w:rPr>
          <w:lang w:val="fr-FR"/>
        </w:rPr>
        <w:t>n</w:t>
      </w:r>
      <w:r w:rsidR="00603708">
        <w:rPr>
          <w:lang w:val="fr-FR"/>
        </w:rPr>
        <w:t>’</w:t>
      </w:r>
      <w:r w:rsidR="00730D47" w:rsidRPr="00730D47">
        <w:rPr>
          <w:lang w:val="fr-FR"/>
        </w:rPr>
        <w:t>auraient pu accomplir des actes de résistance tels qu</w:t>
      </w:r>
      <w:r w:rsidR="00603708">
        <w:rPr>
          <w:lang w:val="fr-FR"/>
        </w:rPr>
        <w:t>’</w:t>
      </w:r>
      <w:r w:rsidR="00730D47" w:rsidRPr="00730D47">
        <w:rPr>
          <w:lang w:val="fr-FR"/>
        </w:rPr>
        <w:t>ils auraient justifié les coups qui leur avaient été assenés et qui avaient causé ecchymoses et fractures.</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52</w:t>
      </w:r>
      <w:r>
        <w:rPr>
          <w:lang w:val="fr-FR"/>
        </w:rPr>
        <w:fldChar w:fldCharType="end"/>
      </w:r>
      <w:r>
        <w:rPr>
          <w:lang w:val="fr-FR"/>
        </w:rPr>
        <w:t>.  </w:t>
      </w:r>
      <w:r w:rsidR="00730D47" w:rsidRPr="00730D47">
        <w:rPr>
          <w:lang w:val="fr-FR"/>
        </w:rPr>
        <w:t>Le tribunal souligna également que le parquet n</w:t>
      </w:r>
      <w:r w:rsidR="00603708">
        <w:rPr>
          <w:lang w:val="fr-FR"/>
        </w:rPr>
        <w:t>’</w:t>
      </w:r>
      <w:r w:rsidR="00730D47" w:rsidRPr="00730D47">
        <w:rPr>
          <w:lang w:val="fr-FR"/>
        </w:rPr>
        <w:t xml:space="preserve">avait pas demandé le renvoi en jugement des auteurs </w:t>
      </w:r>
      <w:r w:rsidR="00A646D3">
        <w:rPr>
          <w:lang w:val="fr-FR"/>
        </w:rPr>
        <w:t>mat</w:t>
      </w:r>
      <w:r w:rsidR="008E00A0">
        <w:rPr>
          <w:lang w:val="fr-FR"/>
        </w:rPr>
        <w:t>é</w:t>
      </w:r>
      <w:r w:rsidR="00A646D3">
        <w:rPr>
          <w:lang w:val="fr-FR"/>
        </w:rPr>
        <w:t>riels</w:t>
      </w:r>
      <w:r w:rsidR="00D93BBF">
        <w:rPr>
          <w:lang w:val="fr-FR"/>
        </w:rPr>
        <w:t xml:space="preserve"> </w:t>
      </w:r>
      <w:r w:rsidR="00730D47" w:rsidRPr="00730D47">
        <w:rPr>
          <w:lang w:val="fr-FR"/>
        </w:rPr>
        <w:t>des violences, compte tenu de la difficulté de procéder à leur identification, et que la police n</w:t>
      </w:r>
      <w:r w:rsidR="00603708">
        <w:rPr>
          <w:lang w:val="fr-FR"/>
        </w:rPr>
        <w:t>’</w:t>
      </w:r>
      <w:r w:rsidR="00730D47" w:rsidRPr="00730D47">
        <w:rPr>
          <w:lang w:val="fr-FR"/>
        </w:rPr>
        <w:t>avait pas coopéré efficacement. Il nota à cet égard que des photos anciennes des fonctionnaires accusés avaient été fournies au parquet et que sept ans avaient été nécessaires pour identifier un agent particulièrement violent – filmé au cours de l</w:t>
      </w:r>
      <w:r w:rsidR="00603708">
        <w:rPr>
          <w:lang w:val="fr-FR"/>
        </w:rPr>
        <w:t>’</w:t>
      </w:r>
      <w:r w:rsidR="00730D47" w:rsidRPr="00730D47">
        <w:rPr>
          <w:lang w:val="fr-FR"/>
        </w:rPr>
        <w:t>irruption –, alors que sa coiffure le rendait aisément reconnaissable.</w:t>
      </w:r>
    </w:p>
    <w:p w:rsidR="00603708"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53</w:t>
      </w:r>
      <w:r>
        <w:rPr>
          <w:lang w:val="fr-FR"/>
        </w:rPr>
        <w:fldChar w:fldCharType="end"/>
      </w:r>
      <w:r>
        <w:rPr>
          <w:lang w:val="fr-FR"/>
        </w:rPr>
        <w:t>.  </w:t>
      </w:r>
      <w:r w:rsidR="00730D47" w:rsidRPr="00730D47">
        <w:rPr>
          <w:lang w:val="fr-FR"/>
        </w:rPr>
        <w:t xml:space="preserve">Dans son </w:t>
      </w:r>
      <w:r w:rsidR="00FA11C1">
        <w:rPr>
          <w:lang w:val="fr-FR"/>
        </w:rPr>
        <w:t>appréciation</w:t>
      </w:r>
      <w:r w:rsidR="00FA11C1" w:rsidRPr="00730D47">
        <w:rPr>
          <w:lang w:val="fr-FR"/>
        </w:rPr>
        <w:t xml:space="preserve"> </w:t>
      </w:r>
      <w:r w:rsidR="00730D47" w:rsidRPr="00730D47">
        <w:rPr>
          <w:lang w:val="fr-FR"/>
        </w:rPr>
        <w:t>de la responsabilité individuelle des accusés, le tribunal estima que, compte tenu des circonstances de l</w:t>
      </w:r>
      <w:r w:rsidR="00603708">
        <w:rPr>
          <w:lang w:val="fr-FR"/>
        </w:rPr>
        <w:t>’</w:t>
      </w:r>
      <w:r w:rsidR="00730D47" w:rsidRPr="00730D47">
        <w:rPr>
          <w:lang w:val="fr-FR"/>
        </w:rPr>
        <w:t xml:space="preserve">affaire, les auteurs matériels avaient agi </w:t>
      </w:r>
      <w:r w:rsidR="00FA11C1">
        <w:rPr>
          <w:lang w:val="fr-FR"/>
        </w:rPr>
        <w:t>avec</w:t>
      </w:r>
      <w:r w:rsidR="00FA11C1" w:rsidRPr="00730D47">
        <w:rPr>
          <w:lang w:val="fr-FR"/>
        </w:rPr>
        <w:t xml:space="preserve"> </w:t>
      </w:r>
      <w:r w:rsidR="00730D47" w:rsidRPr="00730D47">
        <w:rPr>
          <w:lang w:val="fr-FR"/>
        </w:rPr>
        <w:t>la conviction que leurs supérieurs toléraient les actes qui avaient été les leurs. Il précisa que le fait que certains fonctionnaires et cadres, présents sur les lieux dès le début de l</w:t>
      </w:r>
      <w:r w:rsidR="00603708">
        <w:rPr>
          <w:lang w:val="fr-FR"/>
        </w:rPr>
        <w:t>’</w:t>
      </w:r>
      <w:r w:rsidR="00730D47" w:rsidRPr="00730D47">
        <w:rPr>
          <w:lang w:val="fr-FR"/>
        </w:rPr>
        <w:t>opération, n</w:t>
      </w:r>
      <w:r w:rsidR="00603708">
        <w:rPr>
          <w:lang w:val="fr-FR"/>
        </w:rPr>
        <w:t>’</w:t>
      </w:r>
      <w:r w:rsidR="00730D47" w:rsidRPr="00730D47">
        <w:rPr>
          <w:lang w:val="fr-FR"/>
        </w:rPr>
        <w:t xml:space="preserve">avaient pas immédiatement empêché la poursuite des violences avait contribué aux agissements des agents du </w:t>
      </w:r>
      <w:r w:rsidR="00730D47" w:rsidRPr="00730D47">
        <w:rPr>
          <w:i/>
          <w:lang w:val="fr-FR"/>
        </w:rPr>
        <w:t xml:space="preserve">VII Nucleo antisommossa </w:t>
      </w:r>
      <w:r w:rsidR="00730D47" w:rsidRPr="00730D47">
        <w:rPr>
          <w:lang w:val="fr-FR"/>
        </w:rPr>
        <w:t>et des autres membres des forces de l</w:t>
      </w:r>
      <w:r w:rsidR="00603708">
        <w:rPr>
          <w:lang w:val="fr-FR"/>
        </w:rPr>
        <w:t>’</w:t>
      </w:r>
      <w:r w:rsidR="00730D47" w:rsidRPr="00730D47">
        <w:rPr>
          <w:lang w:val="fr-FR"/>
        </w:rPr>
        <w:t>ordre. Dès lors, aux yeux du tribunal, seuls ces fonctionnaires et cadres pouvaient être jugés coupables de</w:t>
      </w:r>
      <w:r w:rsidR="006D10EC">
        <w:rPr>
          <w:lang w:val="fr-FR"/>
        </w:rPr>
        <w:t xml:space="preserve"> complicité de délit de lésions.</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54</w:t>
      </w:r>
      <w:r>
        <w:rPr>
          <w:lang w:val="fr-FR"/>
        </w:rPr>
        <w:fldChar w:fldCharType="end"/>
      </w:r>
      <w:r>
        <w:rPr>
          <w:lang w:val="fr-FR"/>
        </w:rPr>
        <w:t>.  </w:t>
      </w:r>
      <w:r w:rsidR="00730D47" w:rsidRPr="00730D47">
        <w:rPr>
          <w:lang w:val="fr-FR"/>
        </w:rPr>
        <w:t>Le tribunal se pencha ensuite sur la thèse du parquet selon laquelle les forces de l</w:t>
      </w:r>
      <w:r w:rsidR="00603708">
        <w:rPr>
          <w:lang w:val="fr-FR"/>
        </w:rPr>
        <w:t>’</w:t>
      </w:r>
      <w:r w:rsidR="00730D47" w:rsidRPr="00730D47">
        <w:rPr>
          <w:lang w:val="fr-FR"/>
        </w:rPr>
        <w:t xml:space="preserve">ordre avaient fabriqué de fausses preuves et relaté des événements fallacieux dans le but de justifier, </w:t>
      </w:r>
      <w:r w:rsidR="00730D47" w:rsidRPr="00730D47">
        <w:rPr>
          <w:i/>
          <w:lang w:val="fr-FR"/>
        </w:rPr>
        <w:t>a posteriori</w:t>
      </w:r>
      <w:r w:rsidR="00730D47" w:rsidRPr="00730D47">
        <w:rPr>
          <w:lang w:val="fr-FR"/>
        </w:rPr>
        <w:t>, à la fois la perquisition et les violences.</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55</w:t>
      </w:r>
      <w:r>
        <w:rPr>
          <w:lang w:val="fr-FR"/>
        </w:rPr>
        <w:fldChar w:fldCharType="end"/>
      </w:r>
      <w:r>
        <w:rPr>
          <w:lang w:val="fr-FR"/>
        </w:rPr>
        <w:t>.  </w:t>
      </w:r>
      <w:r w:rsidR="00730D47" w:rsidRPr="00730D47">
        <w:rPr>
          <w:lang w:val="fr-FR"/>
        </w:rPr>
        <w:t>En ce qui concernait, notamment, le comportement des occupants avant l</w:t>
      </w:r>
      <w:r w:rsidR="00603708">
        <w:rPr>
          <w:lang w:val="fr-FR"/>
        </w:rPr>
        <w:t>’</w:t>
      </w:r>
      <w:r w:rsidR="00730D47" w:rsidRPr="00730D47">
        <w:rPr>
          <w:lang w:val="fr-FR"/>
        </w:rPr>
        <w:t>irruption de la police, le tribunal observa que les enregistrements vidéo versés au dossier ne montraient pas de jet</w:t>
      </w:r>
      <w:r w:rsidR="00D93BBF">
        <w:rPr>
          <w:lang w:val="fr-FR"/>
        </w:rPr>
        <w:t>s</w:t>
      </w:r>
      <w:r w:rsidR="00730D47" w:rsidRPr="00730D47">
        <w:rPr>
          <w:lang w:val="fr-FR"/>
        </w:rPr>
        <w:t xml:space="preserve"> d</w:t>
      </w:r>
      <w:r w:rsidR="00603708">
        <w:rPr>
          <w:lang w:val="fr-FR"/>
        </w:rPr>
        <w:t>’</w:t>
      </w:r>
      <w:r w:rsidR="00730D47" w:rsidRPr="00730D47">
        <w:rPr>
          <w:lang w:val="fr-FR"/>
        </w:rPr>
        <w:t>objets de grande dimension depuis le bâtiment mais que l</w:t>
      </w:r>
      <w:r w:rsidR="00603708">
        <w:rPr>
          <w:lang w:val="fr-FR"/>
        </w:rPr>
        <w:t>’</w:t>
      </w:r>
      <w:r w:rsidR="00730D47" w:rsidRPr="00730D47">
        <w:rPr>
          <w:lang w:val="fr-FR"/>
        </w:rPr>
        <w:t>on pouvait considérer, d</w:t>
      </w:r>
      <w:r w:rsidR="00603708">
        <w:rPr>
          <w:lang w:val="fr-FR"/>
        </w:rPr>
        <w:t>’</w:t>
      </w:r>
      <w:r w:rsidR="00730D47" w:rsidRPr="00730D47">
        <w:rPr>
          <w:lang w:val="fr-FR"/>
        </w:rPr>
        <w:t>après les déclarations d</w:t>
      </w:r>
      <w:r w:rsidR="00603708">
        <w:rPr>
          <w:lang w:val="fr-FR"/>
        </w:rPr>
        <w:t>’</w:t>
      </w:r>
      <w:r w:rsidR="00730D47" w:rsidRPr="00730D47">
        <w:rPr>
          <w:lang w:val="fr-FR"/>
        </w:rPr>
        <w:t>un témoin et d</w:t>
      </w:r>
      <w:r w:rsidR="00603708">
        <w:rPr>
          <w:lang w:val="fr-FR"/>
        </w:rPr>
        <w:t>’</w:t>
      </w:r>
      <w:r w:rsidR="00730D47" w:rsidRPr="00730D47">
        <w:rPr>
          <w:lang w:val="fr-FR"/>
        </w:rPr>
        <w:t>après l</w:t>
      </w:r>
      <w:r w:rsidR="00603708">
        <w:rPr>
          <w:lang w:val="fr-FR"/>
        </w:rPr>
        <w:t>’</w:t>
      </w:r>
      <w:r w:rsidR="00730D47" w:rsidRPr="00730D47">
        <w:rPr>
          <w:lang w:val="fr-FR"/>
        </w:rPr>
        <w:t xml:space="preserve">attitude des agents, filmés avec leurs boucliers levés au-dessus de leur tête, que quelques petits objets (pièces de monnaie, boulons, etc.) avaient vraisemblablement été lancés sur les agents </w:t>
      </w:r>
      <w:r w:rsidR="00FA11C1">
        <w:rPr>
          <w:lang w:val="fr-FR"/>
        </w:rPr>
        <w:t>pendant</w:t>
      </w:r>
      <w:r w:rsidR="00FA11C1" w:rsidRPr="00730D47">
        <w:rPr>
          <w:lang w:val="fr-FR"/>
        </w:rPr>
        <w:t xml:space="preserve"> </w:t>
      </w:r>
      <w:r w:rsidR="00730D47" w:rsidRPr="00730D47">
        <w:rPr>
          <w:lang w:val="fr-FR"/>
        </w:rPr>
        <w:t>qu</w:t>
      </w:r>
      <w:r w:rsidR="00603708">
        <w:rPr>
          <w:lang w:val="fr-FR"/>
        </w:rPr>
        <w:t>’</w:t>
      </w:r>
      <w:r w:rsidR="00730D47" w:rsidRPr="00730D47">
        <w:rPr>
          <w:lang w:val="fr-FR"/>
        </w:rPr>
        <w:t>il essayaient d</w:t>
      </w:r>
      <w:r w:rsidR="00603708">
        <w:rPr>
          <w:lang w:val="fr-FR"/>
        </w:rPr>
        <w:t>’</w:t>
      </w:r>
      <w:r w:rsidR="00730D47" w:rsidRPr="00730D47">
        <w:rPr>
          <w:lang w:val="fr-FR"/>
        </w:rPr>
        <w:t>enfoncer la porte d</w:t>
      </w:r>
      <w:r w:rsidR="00603708">
        <w:rPr>
          <w:lang w:val="fr-FR"/>
        </w:rPr>
        <w:t>’</w:t>
      </w:r>
      <w:r w:rsidR="00730D47" w:rsidRPr="00730D47">
        <w:rPr>
          <w:lang w:val="fr-FR"/>
        </w:rPr>
        <w:t>entrée de l</w:t>
      </w:r>
      <w:r w:rsidR="00603708">
        <w:rPr>
          <w:lang w:val="fr-FR"/>
        </w:rPr>
        <w:t>’</w:t>
      </w:r>
      <w:r w:rsidR="00730D47" w:rsidRPr="00730D47">
        <w:rPr>
          <w:lang w:val="fr-FR"/>
        </w:rPr>
        <w:t>école.</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56</w:t>
      </w:r>
      <w:r>
        <w:rPr>
          <w:lang w:val="fr-FR"/>
        </w:rPr>
        <w:fldChar w:fldCharType="end"/>
      </w:r>
      <w:r>
        <w:rPr>
          <w:lang w:val="fr-FR"/>
        </w:rPr>
        <w:t>.  </w:t>
      </w:r>
      <w:r w:rsidR="00730D47" w:rsidRPr="00730D47">
        <w:rPr>
          <w:lang w:val="fr-FR"/>
        </w:rPr>
        <w:t>Quant à l</w:t>
      </w:r>
      <w:r w:rsidR="00603708">
        <w:rPr>
          <w:lang w:val="fr-FR"/>
        </w:rPr>
        <w:t>’</w:t>
      </w:r>
      <w:r w:rsidR="00730D47" w:rsidRPr="00730D47">
        <w:rPr>
          <w:lang w:val="fr-FR"/>
        </w:rPr>
        <w:t>agression au couteau prétendument subie par un</w:t>
      </w:r>
      <w:r w:rsidR="006A01FE">
        <w:rPr>
          <w:lang w:val="fr-FR"/>
        </w:rPr>
        <w:t xml:space="preserve"> </w:t>
      </w:r>
      <w:r w:rsidR="00730D47" w:rsidRPr="00730D47">
        <w:rPr>
          <w:lang w:val="fr-FR"/>
        </w:rPr>
        <w:t>agent, le tribunal, au vu des résultats de l</w:t>
      </w:r>
      <w:r w:rsidR="00603708">
        <w:rPr>
          <w:lang w:val="fr-FR"/>
        </w:rPr>
        <w:t>’</w:t>
      </w:r>
      <w:r w:rsidR="00730D47" w:rsidRPr="00730D47">
        <w:rPr>
          <w:lang w:val="fr-FR"/>
        </w:rPr>
        <w:t xml:space="preserve">expertise réalisée sur la tenue de cet agent et des éléments dont il disposait, </w:t>
      </w:r>
      <w:r w:rsidR="00FA11C1">
        <w:rPr>
          <w:lang w:val="fr-FR"/>
        </w:rPr>
        <w:t>exposa qu</w:t>
      </w:r>
      <w:r w:rsidR="00603708">
        <w:rPr>
          <w:lang w:val="fr-FR"/>
        </w:rPr>
        <w:t>’</w:t>
      </w:r>
      <w:r w:rsidR="00FA11C1">
        <w:rPr>
          <w:lang w:val="fr-FR"/>
        </w:rPr>
        <w:t>il ne pouvait</w:t>
      </w:r>
      <w:r w:rsidR="00730D47" w:rsidRPr="00730D47">
        <w:rPr>
          <w:lang w:val="fr-FR"/>
        </w:rPr>
        <w:t xml:space="preserve"> ni conclure que cette agression avait réellement eu lieu ni en exclure la possibilité.</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57</w:t>
      </w:r>
      <w:r>
        <w:rPr>
          <w:lang w:val="fr-FR"/>
        </w:rPr>
        <w:fldChar w:fldCharType="end"/>
      </w:r>
      <w:r>
        <w:rPr>
          <w:lang w:val="fr-FR"/>
        </w:rPr>
        <w:t>.  </w:t>
      </w:r>
      <w:r w:rsidR="00730D47" w:rsidRPr="00730D47">
        <w:rPr>
          <w:lang w:val="fr-FR"/>
        </w:rPr>
        <w:t>En outre, le tribunal nota que les deux cocktails Molotov montrés à la presse le 22 juillet avaient été trouvés par la police dans la ville au cours de l</w:t>
      </w:r>
      <w:r w:rsidR="00603708">
        <w:rPr>
          <w:lang w:val="fr-FR"/>
        </w:rPr>
        <w:t>’</w:t>
      </w:r>
      <w:r w:rsidR="00730D47" w:rsidRPr="00730D47">
        <w:rPr>
          <w:lang w:val="fr-FR"/>
        </w:rPr>
        <w:t>après-midi du 21 juillet et apportés ensuite, à l</w:t>
      </w:r>
      <w:r w:rsidR="00603708">
        <w:rPr>
          <w:lang w:val="fr-FR"/>
        </w:rPr>
        <w:t>’</w:t>
      </w:r>
      <w:r w:rsidR="00730D47" w:rsidRPr="00730D47">
        <w:rPr>
          <w:lang w:val="fr-FR"/>
        </w:rPr>
        <w:t>initiative du préfet de police adjoint de Gênes, dans la cour de l</w:t>
      </w:r>
      <w:r w:rsidR="00603708">
        <w:rPr>
          <w:lang w:val="fr-FR"/>
        </w:rPr>
        <w:t>’</w:t>
      </w:r>
      <w:r w:rsidR="00730D47" w:rsidRPr="00730D47">
        <w:rPr>
          <w:lang w:val="fr-FR"/>
        </w:rPr>
        <w:t>école vers la fin de la perquisition, et qu</w:t>
      </w:r>
      <w:r w:rsidR="00603708">
        <w:rPr>
          <w:lang w:val="fr-FR"/>
        </w:rPr>
        <w:t>’</w:t>
      </w:r>
      <w:r w:rsidR="00730D47" w:rsidRPr="00730D47">
        <w:rPr>
          <w:lang w:val="fr-FR"/>
        </w:rPr>
        <w:t>ils s</w:t>
      </w:r>
      <w:r w:rsidR="00603708">
        <w:rPr>
          <w:lang w:val="fr-FR"/>
        </w:rPr>
        <w:t>’</w:t>
      </w:r>
      <w:r w:rsidR="00730D47" w:rsidRPr="00730D47">
        <w:rPr>
          <w:lang w:val="fr-FR"/>
        </w:rPr>
        <w:t>étaient pour finir retrouvés, dans des circonstances peu claires, parmi les objets collectés qui avaient été rassemblés dans le gymnase.</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58</w:t>
      </w:r>
      <w:r>
        <w:rPr>
          <w:lang w:val="fr-FR"/>
        </w:rPr>
        <w:fldChar w:fldCharType="end"/>
      </w:r>
      <w:r>
        <w:rPr>
          <w:lang w:val="fr-FR"/>
        </w:rPr>
        <w:t>.  </w:t>
      </w:r>
      <w:r w:rsidR="00730D47" w:rsidRPr="00730D47">
        <w:rPr>
          <w:lang w:val="fr-FR"/>
        </w:rPr>
        <w:t>Enfin, le tribunal estima que le procès-verbal de l</w:t>
      </w:r>
      <w:r w:rsidR="00603708">
        <w:rPr>
          <w:lang w:val="fr-FR"/>
        </w:rPr>
        <w:t>’</w:t>
      </w:r>
      <w:r w:rsidR="00730D47" w:rsidRPr="00730D47">
        <w:rPr>
          <w:lang w:val="fr-FR"/>
        </w:rPr>
        <w:t>opération contenait une description trompeuse des faits, car il faisait état d</w:t>
      </w:r>
      <w:r w:rsidR="00603708">
        <w:rPr>
          <w:lang w:val="fr-FR"/>
        </w:rPr>
        <w:t>’</w:t>
      </w:r>
      <w:r w:rsidR="00730D47" w:rsidRPr="00730D47">
        <w:rPr>
          <w:lang w:val="fr-FR"/>
        </w:rPr>
        <w:t>une résistance violente de la part de l</w:t>
      </w:r>
      <w:r w:rsidR="00603708">
        <w:rPr>
          <w:lang w:val="fr-FR"/>
        </w:rPr>
        <w:t>’</w:t>
      </w:r>
      <w:r w:rsidR="00730D47" w:rsidRPr="00730D47">
        <w:rPr>
          <w:lang w:val="fr-FR"/>
        </w:rPr>
        <w:t>ensemble des occupants et ne mentionnait guère que la plupart de ceux-ci avaient été blessés par les forces de l</w:t>
      </w:r>
      <w:r w:rsidR="00603708">
        <w:rPr>
          <w:lang w:val="fr-FR"/>
        </w:rPr>
        <w:t>’</w:t>
      </w:r>
      <w:r w:rsidR="00730D47" w:rsidRPr="00730D47">
        <w:rPr>
          <w:lang w:val="fr-FR"/>
        </w:rPr>
        <w:t>ordre.</w:t>
      </w:r>
    </w:p>
    <w:p w:rsidR="00730D47" w:rsidRPr="00730D47" w:rsidRDefault="0060410B" w:rsidP="0060410B">
      <w:pPr>
        <w:pStyle w:val="ECHRHeading4"/>
        <w:rPr>
          <w:lang w:val="fr-FR"/>
        </w:rPr>
      </w:pPr>
      <w:r>
        <w:rPr>
          <w:lang w:val="fr-FR"/>
        </w:rPr>
        <w:t>b)</w:t>
      </w:r>
      <w:r w:rsidR="00730D47" w:rsidRPr="00730D47">
        <w:rPr>
          <w:lang w:val="fr-FR"/>
        </w:rPr>
        <w:t>  L</w:t>
      </w:r>
      <w:r w:rsidR="00603708">
        <w:rPr>
          <w:lang w:val="fr-FR"/>
        </w:rPr>
        <w:t>’</w:t>
      </w:r>
      <w:r w:rsidR="00730D47" w:rsidRPr="00730D47">
        <w:rPr>
          <w:lang w:val="fr-FR"/>
        </w:rPr>
        <w:t>arrêt d</w:t>
      </w:r>
      <w:r w:rsidR="00603708">
        <w:rPr>
          <w:lang w:val="fr-FR"/>
        </w:rPr>
        <w:t>’</w:t>
      </w:r>
      <w:r w:rsidR="00730D47" w:rsidRPr="00730D47">
        <w:rPr>
          <w:lang w:val="fr-FR"/>
        </w:rPr>
        <w:t>appel</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59</w:t>
      </w:r>
      <w:r>
        <w:rPr>
          <w:lang w:val="fr-FR"/>
        </w:rPr>
        <w:fldChar w:fldCharType="end"/>
      </w:r>
      <w:r>
        <w:rPr>
          <w:lang w:val="fr-FR"/>
        </w:rPr>
        <w:t>.  </w:t>
      </w:r>
      <w:r w:rsidR="00730D47" w:rsidRPr="00730D47">
        <w:rPr>
          <w:lang w:val="fr-FR"/>
        </w:rPr>
        <w:t>Saisie par les accusés, par le parquet près le tribunal de Gênes, par le procureur général, par le ministère de l</w:t>
      </w:r>
      <w:r w:rsidR="00603708">
        <w:rPr>
          <w:lang w:val="fr-FR"/>
        </w:rPr>
        <w:t>’</w:t>
      </w:r>
      <w:r w:rsidR="00730D47" w:rsidRPr="00730D47">
        <w:rPr>
          <w:lang w:val="fr-FR"/>
        </w:rPr>
        <w:t>Intérieur (responsable civil) et par la plupart des victimes, dont le requérant, la cour d</w:t>
      </w:r>
      <w:r w:rsidR="00603708">
        <w:rPr>
          <w:lang w:val="fr-FR"/>
        </w:rPr>
        <w:t>’</w:t>
      </w:r>
      <w:r w:rsidR="00730D47" w:rsidRPr="00730D47">
        <w:rPr>
          <w:lang w:val="fr-FR"/>
        </w:rPr>
        <w:t xml:space="preserve">appel de Gênes, par </w:t>
      </w:r>
      <w:r w:rsidR="00FB3846">
        <w:rPr>
          <w:lang w:val="fr-FR"/>
        </w:rPr>
        <w:t xml:space="preserve">son </w:t>
      </w:r>
      <w:r w:rsidR="00730D47" w:rsidRPr="00730D47">
        <w:rPr>
          <w:szCs w:val="24"/>
          <w:lang w:val="fr-FR"/>
        </w:rPr>
        <w:t>arrêt n</w:t>
      </w:r>
      <w:r w:rsidR="00730D47" w:rsidRPr="00730D47">
        <w:rPr>
          <w:szCs w:val="24"/>
          <w:vertAlign w:val="superscript"/>
          <w:lang w:val="fr-FR"/>
        </w:rPr>
        <w:t>o</w:t>
      </w:r>
      <w:r w:rsidR="00730D47" w:rsidRPr="00730D47">
        <w:rPr>
          <w:szCs w:val="24"/>
          <w:lang w:val="fr-FR"/>
        </w:rPr>
        <w:t xml:space="preserve"> 1530/10</w:t>
      </w:r>
      <w:r w:rsidR="00730D47" w:rsidRPr="00730D47">
        <w:rPr>
          <w:lang w:val="fr-FR"/>
        </w:rPr>
        <w:t xml:space="preserve"> du 18 mai 2010, déposé le 31 juillet 2010, r</w:t>
      </w:r>
      <w:r w:rsidR="00FA11C1">
        <w:rPr>
          <w:lang w:val="fr-FR"/>
        </w:rPr>
        <w:t>é</w:t>
      </w:r>
      <w:r w:rsidR="006A01FE">
        <w:rPr>
          <w:lang w:val="fr-FR"/>
        </w:rPr>
        <w:t>forma</w:t>
      </w:r>
      <w:r w:rsidR="00730D47" w:rsidRPr="00730D47">
        <w:rPr>
          <w:lang w:val="fr-FR"/>
        </w:rPr>
        <w:t xml:space="preserve"> partiellement le jugement entrepris.</w:t>
      </w:r>
    </w:p>
    <w:p w:rsidR="00730D47" w:rsidRPr="00730D47" w:rsidRDefault="0060410B"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60</w:t>
      </w:r>
      <w:r>
        <w:rPr>
          <w:lang w:val="fr-FR"/>
        </w:rPr>
        <w:fldChar w:fldCharType="end"/>
      </w:r>
      <w:r>
        <w:rPr>
          <w:lang w:val="fr-FR"/>
        </w:rPr>
        <w:t>.  </w:t>
      </w:r>
      <w:r w:rsidR="00730D47" w:rsidRPr="00730D47">
        <w:rPr>
          <w:lang w:val="fr-FR"/>
        </w:rPr>
        <w:t>Elle déclara les accusés coupables des délits de faux (dix-sept accusés), de lésions aggravées (neuf accusés) et de port abusif d</w:t>
      </w:r>
      <w:r w:rsidR="00603708">
        <w:rPr>
          <w:lang w:val="fr-FR"/>
        </w:rPr>
        <w:t>’</w:t>
      </w:r>
      <w:r w:rsidR="00730D47" w:rsidRPr="00730D47">
        <w:rPr>
          <w:lang w:val="fr-FR"/>
        </w:rPr>
        <w:t xml:space="preserve">armes de guerre (un accusé). </w:t>
      </w:r>
      <w:r w:rsidR="00FB3846">
        <w:rPr>
          <w:lang w:val="fr-FR"/>
        </w:rPr>
        <w:t>Elle les</w:t>
      </w:r>
      <w:r w:rsidR="00730D47" w:rsidRPr="00730D47">
        <w:rPr>
          <w:lang w:val="fr-FR"/>
        </w:rPr>
        <w:t xml:space="preserve"> condamn</w:t>
      </w:r>
      <w:r w:rsidR="00FB3846">
        <w:rPr>
          <w:lang w:val="fr-FR"/>
        </w:rPr>
        <w:t>a</w:t>
      </w:r>
      <w:r w:rsidR="00730D47" w:rsidRPr="00730D47">
        <w:rPr>
          <w:lang w:val="fr-FR"/>
        </w:rPr>
        <w:t xml:space="preserve"> à des peines comprises entre trois ans et huit mois et cinq ans d</w:t>
      </w:r>
      <w:r w:rsidR="00603708">
        <w:rPr>
          <w:lang w:val="fr-FR"/>
        </w:rPr>
        <w:t>’</w:t>
      </w:r>
      <w:r w:rsidR="00730D47" w:rsidRPr="00730D47">
        <w:rPr>
          <w:lang w:val="fr-FR"/>
        </w:rPr>
        <w:t xml:space="preserve">emprisonnement, </w:t>
      </w:r>
      <w:r w:rsidR="00FB3846">
        <w:rPr>
          <w:lang w:val="fr-FR"/>
        </w:rPr>
        <w:t>et à</w:t>
      </w:r>
      <w:r w:rsidR="00730D47" w:rsidRPr="00730D47">
        <w:rPr>
          <w:lang w:val="fr-FR"/>
        </w:rPr>
        <w:t xml:space="preserve"> l</w:t>
      </w:r>
      <w:r w:rsidR="00603708">
        <w:rPr>
          <w:lang w:val="fr-FR"/>
        </w:rPr>
        <w:t>’</w:t>
      </w:r>
      <w:r w:rsidR="00730D47" w:rsidRPr="00730D47">
        <w:rPr>
          <w:lang w:val="fr-FR"/>
        </w:rPr>
        <w:t>interdiction prononcée pour cinq ans d</w:t>
      </w:r>
      <w:r w:rsidR="00603708">
        <w:rPr>
          <w:lang w:val="fr-FR"/>
        </w:rPr>
        <w:t>’</w:t>
      </w:r>
      <w:r w:rsidR="00730D47" w:rsidRPr="00730D47">
        <w:rPr>
          <w:lang w:val="fr-FR"/>
        </w:rPr>
        <w:t>exercer des fonctions publiques.</w:t>
      </w:r>
      <w:r w:rsidR="00730D47" w:rsidRPr="00730D47">
        <w:rPr>
          <w:i/>
          <w:lang w:val="fr-FR"/>
        </w:rPr>
        <w:t xml:space="preserve"> </w:t>
      </w:r>
      <w:r w:rsidR="00730D47" w:rsidRPr="00730D47">
        <w:rPr>
          <w:lang w:val="fr-FR"/>
        </w:rPr>
        <w:t>En application de la loi n</w:t>
      </w:r>
      <w:r w:rsidR="00730D47" w:rsidRPr="00730D47">
        <w:rPr>
          <w:vertAlign w:val="superscript"/>
          <w:lang w:val="fr-FR"/>
        </w:rPr>
        <w:t>o</w:t>
      </w:r>
      <w:r w:rsidR="00730D47" w:rsidRPr="00730D47">
        <w:rPr>
          <w:lang w:val="fr-FR"/>
        </w:rPr>
        <w:t> 241 du 29 juillet 2006, tous les condamnés bénéficièrent d</w:t>
      </w:r>
      <w:r w:rsidR="00603708">
        <w:rPr>
          <w:lang w:val="fr-FR"/>
        </w:rPr>
        <w:t>’</w:t>
      </w:r>
      <w:r w:rsidR="00730D47" w:rsidRPr="00730D47">
        <w:rPr>
          <w:lang w:val="fr-FR"/>
        </w:rPr>
        <w:t>une remise de peine de trois ans.</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61</w:t>
      </w:r>
      <w:r>
        <w:rPr>
          <w:lang w:val="fr-FR"/>
        </w:rPr>
        <w:fldChar w:fldCharType="end"/>
      </w:r>
      <w:r>
        <w:rPr>
          <w:lang w:val="fr-FR"/>
        </w:rPr>
        <w:t>.  </w:t>
      </w:r>
      <w:r w:rsidR="00730D47" w:rsidRPr="00730D47">
        <w:rPr>
          <w:lang w:val="fr-FR"/>
        </w:rPr>
        <w:t>Le délai de prescription des délits de calomnie aggravée (quatorze</w:t>
      </w:r>
      <w:r w:rsidR="001D421F">
        <w:rPr>
          <w:lang w:val="fr-FR"/>
        </w:rPr>
        <w:t> </w:t>
      </w:r>
      <w:r w:rsidR="00730D47" w:rsidRPr="00730D47">
        <w:rPr>
          <w:lang w:val="fr-FR"/>
        </w:rPr>
        <w:t>accusés), d</w:t>
      </w:r>
      <w:r w:rsidR="00603708">
        <w:rPr>
          <w:lang w:val="fr-FR"/>
        </w:rPr>
        <w:t>’</w:t>
      </w:r>
      <w:r w:rsidR="00730D47" w:rsidRPr="00730D47">
        <w:rPr>
          <w:lang w:val="fr-FR"/>
        </w:rPr>
        <w:t>abus d</w:t>
      </w:r>
      <w:r w:rsidR="00603708">
        <w:rPr>
          <w:lang w:val="fr-FR"/>
        </w:rPr>
        <w:t>’</w:t>
      </w:r>
      <w:r w:rsidR="00730D47" w:rsidRPr="00730D47">
        <w:rPr>
          <w:lang w:val="fr-FR"/>
        </w:rPr>
        <w:t>autorité publique du fait de l</w:t>
      </w:r>
      <w:r w:rsidR="00603708">
        <w:rPr>
          <w:lang w:val="fr-FR"/>
        </w:rPr>
        <w:t>’</w:t>
      </w:r>
      <w:r w:rsidR="00730D47" w:rsidRPr="00730D47">
        <w:rPr>
          <w:lang w:val="fr-FR"/>
        </w:rPr>
        <w:t>arrestation illégale des occupants de l</w:t>
      </w:r>
      <w:r w:rsidR="00603708">
        <w:rPr>
          <w:lang w:val="fr-FR"/>
        </w:rPr>
        <w:t>’</w:t>
      </w:r>
      <w:r w:rsidR="00730D47" w:rsidRPr="00730D47">
        <w:rPr>
          <w:lang w:val="fr-FR"/>
        </w:rPr>
        <w:t>école Diaz-Pertini (douze accusés) et de lésions simples (neuf accusés) étant échu, la cour d</w:t>
      </w:r>
      <w:r w:rsidR="00603708">
        <w:rPr>
          <w:lang w:val="fr-FR"/>
        </w:rPr>
        <w:t>’</w:t>
      </w:r>
      <w:r w:rsidR="00730D47" w:rsidRPr="00730D47">
        <w:rPr>
          <w:lang w:val="fr-FR"/>
        </w:rPr>
        <w:t xml:space="preserve">appel prononça un non-lieu pour ceux-ci. </w:t>
      </w:r>
      <w:r w:rsidR="00FB3846">
        <w:rPr>
          <w:lang w:val="fr-FR"/>
        </w:rPr>
        <w:t>Un non-lieu fut également prononcé</w:t>
      </w:r>
      <w:r w:rsidR="00DF3436">
        <w:rPr>
          <w:lang w:val="fr-FR"/>
        </w:rPr>
        <w:t xml:space="preserve"> en raison de</w:t>
      </w:r>
      <w:r w:rsidR="00DF3436" w:rsidRPr="00730D47">
        <w:rPr>
          <w:lang w:val="fr-FR"/>
        </w:rPr>
        <w:t xml:space="preserve"> circonstances atténuantes</w:t>
      </w:r>
      <w:r w:rsidR="00FB3846">
        <w:rPr>
          <w:lang w:val="fr-FR"/>
        </w:rPr>
        <w:t xml:space="preserve"> en faveur du</w:t>
      </w:r>
      <w:r w:rsidR="00730D47" w:rsidRPr="00730D47">
        <w:rPr>
          <w:lang w:val="fr-FR"/>
        </w:rPr>
        <w:t xml:space="preserve"> chef du </w:t>
      </w:r>
      <w:r w:rsidR="00730D47" w:rsidRPr="00730D47">
        <w:rPr>
          <w:i/>
          <w:lang w:val="fr-FR"/>
        </w:rPr>
        <w:t>VII Nucleo antisommossa</w:t>
      </w:r>
      <w:r w:rsidR="00730D47" w:rsidRPr="00730D47">
        <w:rPr>
          <w:lang w:val="fr-FR"/>
        </w:rPr>
        <w:t>, condamné en première instance pour lésions aggravées. Enfin, la cour d</w:t>
      </w:r>
      <w:r w:rsidR="00603708">
        <w:rPr>
          <w:lang w:val="fr-FR"/>
        </w:rPr>
        <w:t>’</w:t>
      </w:r>
      <w:r w:rsidR="00730D47" w:rsidRPr="00730D47">
        <w:rPr>
          <w:lang w:val="fr-FR"/>
        </w:rPr>
        <w:t>appel acquitta une personne accusée des délits de calomnie simple et de port abusif d</w:t>
      </w:r>
      <w:r w:rsidR="00603708">
        <w:rPr>
          <w:lang w:val="fr-FR"/>
        </w:rPr>
        <w:t>’</w:t>
      </w:r>
      <w:r w:rsidR="00730D47" w:rsidRPr="00730D47">
        <w:rPr>
          <w:lang w:val="fr-FR"/>
        </w:rPr>
        <w:t>arme de guerre, et une autre personne accusée du délit de calomnie simple.</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62</w:t>
      </w:r>
      <w:r>
        <w:rPr>
          <w:lang w:val="fr-FR"/>
        </w:rPr>
        <w:fldChar w:fldCharType="end"/>
      </w:r>
      <w:r>
        <w:rPr>
          <w:lang w:val="fr-FR"/>
        </w:rPr>
        <w:t>.  </w:t>
      </w:r>
      <w:r w:rsidR="00730D47" w:rsidRPr="00730D47">
        <w:rPr>
          <w:lang w:val="fr-FR"/>
        </w:rPr>
        <w:t>Les condamnations au versement de dommages-intérêts ainsi qu</w:t>
      </w:r>
      <w:r w:rsidR="00603708">
        <w:rPr>
          <w:lang w:val="fr-FR"/>
        </w:rPr>
        <w:t>’</w:t>
      </w:r>
      <w:r w:rsidR="00730D47" w:rsidRPr="00730D47">
        <w:rPr>
          <w:lang w:val="fr-FR"/>
        </w:rPr>
        <w:t xml:space="preserve">aux frais et dépens, rendues en première instance, furent essentiellement confirmées, avec extension des obligations civiles </w:t>
      </w:r>
      <w:r w:rsidR="00DF3436">
        <w:rPr>
          <w:lang w:val="fr-FR"/>
        </w:rPr>
        <w:t>aux accusés</w:t>
      </w:r>
      <w:r w:rsidR="00730D47" w:rsidRPr="00730D47">
        <w:rPr>
          <w:lang w:val="fr-FR"/>
        </w:rPr>
        <w:t xml:space="preserve"> qui avaient été condamnés pour la première fois en deuxième instance.</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63</w:t>
      </w:r>
      <w:r>
        <w:rPr>
          <w:lang w:val="fr-FR"/>
        </w:rPr>
        <w:fldChar w:fldCharType="end"/>
      </w:r>
      <w:r>
        <w:rPr>
          <w:lang w:val="fr-FR"/>
        </w:rPr>
        <w:t>.  </w:t>
      </w:r>
      <w:r w:rsidR="00730D47" w:rsidRPr="00730D47">
        <w:rPr>
          <w:lang w:val="fr-FR"/>
        </w:rPr>
        <w:t>Dans les motifs de l</w:t>
      </w:r>
      <w:r w:rsidR="00603708">
        <w:rPr>
          <w:lang w:val="fr-FR"/>
        </w:rPr>
        <w:t>’</w:t>
      </w:r>
      <w:r w:rsidR="00730D47" w:rsidRPr="00730D47">
        <w:rPr>
          <w:lang w:val="fr-FR"/>
        </w:rPr>
        <w:t>arrêt</w:t>
      </w:r>
      <w:r w:rsidR="008B214B">
        <w:rPr>
          <w:lang w:val="fr-FR"/>
        </w:rPr>
        <w:t xml:space="preserve"> (</w:t>
      </w:r>
      <w:r w:rsidR="00483D52">
        <w:rPr>
          <w:lang w:val="fr-FR"/>
        </w:rPr>
        <w:t>120</w:t>
      </w:r>
      <w:r w:rsidR="008B214B">
        <w:rPr>
          <w:lang w:val="fr-FR"/>
        </w:rPr>
        <w:t xml:space="preserve"> pages</w:t>
      </w:r>
      <w:r w:rsidR="00E708CA">
        <w:rPr>
          <w:lang w:val="fr-FR"/>
        </w:rPr>
        <w:t xml:space="preserve"> sur </w:t>
      </w:r>
      <w:r w:rsidR="00483D52">
        <w:rPr>
          <w:lang w:val="fr-FR"/>
        </w:rPr>
        <w:t>313</w:t>
      </w:r>
      <w:r w:rsidR="003F5BDD">
        <w:rPr>
          <w:lang w:val="fr-FR"/>
        </w:rPr>
        <w:t xml:space="preserve"> au total</w:t>
      </w:r>
      <w:r w:rsidR="008B214B">
        <w:rPr>
          <w:lang w:val="fr-FR"/>
        </w:rPr>
        <w:t>)</w:t>
      </w:r>
      <w:r w:rsidR="00730D47" w:rsidRPr="00730D47">
        <w:rPr>
          <w:lang w:val="fr-FR"/>
        </w:rPr>
        <w:t>, la cour d</w:t>
      </w:r>
      <w:r w:rsidR="00603708">
        <w:rPr>
          <w:lang w:val="fr-FR"/>
        </w:rPr>
        <w:t>’</w:t>
      </w:r>
      <w:r w:rsidR="00730D47" w:rsidRPr="00730D47">
        <w:rPr>
          <w:lang w:val="fr-FR"/>
        </w:rPr>
        <w:t>appel précisa tout d</w:t>
      </w:r>
      <w:r w:rsidR="00603708">
        <w:rPr>
          <w:lang w:val="fr-FR"/>
        </w:rPr>
        <w:t>’</w:t>
      </w:r>
      <w:r w:rsidR="00730D47" w:rsidRPr="00730D47">
        <w:rPr>
          <w:lang w:val="fr-FR"/>
        </w:rPr>
        <w:t xml:space="preserve">abord que, même si les soupçons </w:t>
      </w:r>
      <w:r w:rsidR="00A426B6">
        <w:rPr>
          <w:lang w:val="fr-FR"/>
        </w:rPr>
        <w:t>relatifs à</w:t>
      </w:r>
      <w:r w:rsidR="00730D47" w:rsidRPr="00730D47">
        <w:rPr>
          <w:lang w:val="fr-FR"/>
        </w:rPr>
        <w:t xml:space="preserve"> la présence des armes utilisées par les black blocks lors de saccages pouvaient justifier, en principe, la perquisition des écoles, les indices permettant de conclure que tous les occupants des deux écoles étaient armés et pouvaient être </w:t>
      </w:r>
      <w:r w:rsidR="0061520A">
        <w:rPr>
          <w:lang w:val="fr-FR"/>
        </w:rPr>
        <w:t>considérés comme appartenant aux</w:t>
      </w:r>
      <w:r w:rsidR="00730D47" w:rsidRPr="00730D47">
        <w:rPr>
          <w:lang w:val="fr-FR"/>
        </w:rPr>
        <w:t xml:space="preserve"> black blocks étaient néanmoins très faibles.</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64</w:t>
      </w:r>
      <w:r>
        <w:rPr>
          <w:lang w:val="fr-FR"/>
        </w:rPr>
        <w:fldChar w:fldCharType="end"/>
      </w:r>
      <w:r>
        <w:rPr>
          <w:lang w:val="fr-FR"/>
        </w:rPr>
        <w:t>.  </w:t>
      </w:r>
      <w:r w:rsidR="00730D47" w:rsidRPr="00730D47">
        <w:rPr>
          <w:lang w:val="fr-FR"/>
        </w:rPr>
        <w:t>La cour d</w:t>
      </w:r>
      <w:r w:rsidR="00603708">
        <w:rPr>
          <w:lang w:val="fr-FR"/>
        </w:rPr>
        <w:t>’</w:t>
      </w:r>
      <w:r w:rsidR="00730D47" w:rsidRPr="00730D47">
        <w:rPr>
          <w:lang w:val="fr-FR"/>
        </w:rPr>
        <w:t>appel indiqua ensuite que plusieurs éléments démontraient que l</w:t>
      </w:r>
      <w:r w:rsidR="00603708">
        <w:rPr>
          <w:lang w:val="fr-FR"/>
        </w:rPr>
        <w:t>’</w:t>
      </w:r>
      <w:r w:rsidR="00730D47" w:rsidRPr="00730D47">
        <w:rPr>
          <w:lang w:val="fr-FR"/>
        </w:rPr>
        <w:t>opération ne visait nullement à l</w:t>
      </w:r>
      <w:r w:rsidR="00603708">
        <w:rPr>
          <w:lang w:val="fr-FR"/>
        </w:rPr>
        <w:t>’</w:t>
      </w:r>
      <w:r w:rsidR="00730D47" w:rsidRPr="00730D47">
        <w:rPr>
          <w:lang w:val="fr-FR"/>
        </w:rPr>
        <w:t>identification des black blocks et qu</w:t>
      </w:r>
      <w:r w:rsidR="00603708">
        <w:rPr>
          <w:lang w:val="fr-FR"/>
        </w:rPr>
        <w:t>’</w:t>
      </w:r>
      <w:r w:rsidR="00730D47" w:rsidRPr="00730D47">
        <w:rPr>
          <w:lang w:val="fr-FR"/>
        </w:rPr>
        <w:t>elle était d</w:t>
      </w:r>
      <w:r w:rsidR="00603708">
        <w:rPr>
          <w:lang w:val="fr-FR"/>
        </w:rPr>
        <w:t>’</w:t>
      </w:r>
      <w:r w:rsidR="00730D47" w:rsidRPr="00730D47">
        <w:rPr>
          <w:lang w:val="fr-FR"/>
        </w:rPr>
        <w:t>une tout autre nature.</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65</w:t>
      </w:r>
      <w:r>
        <w:rPr>
          <w:lang w:val="fr-FR"/>
        </w:rPr>
        <w:fldChar w:fldCharType="end"/>
      </w:r>
      <w:r>
        <w:rPr>
          <w:lang w:val="fr-FR"/>
        </w:rPr>
        <w:t>.  </w:t>
      </w:r>
      <w:r w:rsidR="00730D47" w:rsidRPr="00730D47">
        <w:rPr>
          <w:lang w:val="fr-FR"/>
        </w:rPr>
        <w:t>En premier lieu, les plus hauts responsables de la police auraient, dès la planification de la « perquisition », prévu que les premières lignes des forces de l</w:t>
      </w:r>
      <w:r w:rsidR="00603708">
        <w:rPr>
          <w:lang w:val="fr-FR"/>
        </w:rPr>
        <w:t>’</w:t>
      </w:r>
      <w:r w:rsidR="00730D47" w:rsidRPr="00730D47">
        <w:rPr>
          <w:lang w:val="fr-FR"/>
        </w:rPr>
        <w:t xml:space="preserve">ordre seraient constituées du </w:t>
      </w:r>
      <w:r w:rsidR="00730D47" w:rsidRPr="00730D47">
        <w:rPr>
          <w:i/>
          <w:lang w:val="fr-FR"/>
        </w:rPr>
        <w:t xml:space="preserve">VII Nucleo antisommossa </w:t>
      </w:r>
      <w:r w:rsidR="00730D47" w:rsidRPr="00730D47">
        <w:rPr>
          <w:lang w:val="fr-FR"/>
        </w:rPr>
        <w:t>et d</w:t>
      </w:r>
      <w:r w:rsidR="00603708">
        <w:rPr>
          <w:lang w:val="fr-FR"/>
        </w:rPr>
        <w:t>’</w:t>
      </w:r>
      <w:r w:rsidR="00730D47" w:rsidRPr="00730D47">
        <w:rPr>
          <w:lang w:val="fr-FR"/>
        </w:rPr>
        <w:t>autres agents lourdement armés ; aucune consigne, notamment concernant l</w:t>
      </w:r>
      <w:r w:rsidR="00603708">
        <w:rPr>
          <w:lang w:val="fr-FR"/>
        </w:rPr>
        <w:t>’</w:t>
      </w:r>
      <w:r w:rsidR="00730D47" w:rsidRPr="00730D47">
        <w:rPr>
          <w:lang w:val="fr-FR"/>
        </w:rPr>
        <w:t>utilisation de la force contre les occupants, n</w:t>
      </w:r>
      <w:r w:rsidR="00603708">
        <w:rPr>
          <w:lang w:val="fr-FR"/>
        </w:rPr>
        <w:t>’</w:t>
      </w:r>
      <w:r w:rsidR="00730D47" w:rsidRPr="00730D47">
        <w:rPr>
          <w:lang w:val="fr-FR"/>
        </w:rPr>
        <w:t xml:space="preserve">aurait été donnée à ces unités, leur seule tâche étant de « sécuriser » </w:t>
      </w:r>
      <w:r>
        <w:rPr>
          <w:lang w:val="fr-FR"/>
        </w:rPr>
        <w:t>(</w:t>
      </w:r>
      <w:r>
        <w:rPr>
          <w:i/>
          <w:lang w:val="fr-FR"/>
        </w:rPr>
        <w:t>mettere in sicurezza</w:t>
      </w:r>
      <w:r>
        <w:rPr>
          <w:lang w:val="fr-FR"/>
        </w:rPr>
        <w:t>)</w:t>
      </w:r>
      <w:r>
        <w:rPr>
          <w:i/>
          <w:lang w:val="fr-FR"/>
        </w:rPr>
        <w:t xml:space="preserve"> </w:t>
      </w:r>
      <w:r w:rsidR="00730D47" w:rsidRPr="00730D47">
        <w:rPr>
          <w:lang w:val="fr-FR"/>
        </w:rPr>
        <w:t>le bâtiment.</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66</w:t>
      </w:r>
      <w:r>
        <w:rPr>
          <w:lang w:val="fr-FR"/>
        </w:rPr>
        <w:fldChar w:fldCharType="end"/>
      </w:r>
      <w:r>
        <w:rPr>
          <w:lang w:val="fr-FR"/>
        </w:rPr>
        <w:t>.  </w:t>
      </w:r>
      <w:r w:rsidR="00730D47" w:rsidRPr="00730D47">
        <w:rPr>
          <w:lang w:val="fr-FR"/>
        </w:rPr>
        <w:t>En deuxième lieu, même des personnes qui se trouvaient à l</w:t>
      </w:r>
      <w:r w:rsidR="00603708">
        <w:rPr>
          <w:lang w:val="fr-FR"/>
        </w:rPr>
        <w:t>’</w:t>
      </w:r>
      <w:r w:rsidR="00730D47" w:rsidRPr="00730D47">
        <w:rPr>
          <w:lang w:val="fr-FR"/>
        </w:rPr>
        <w:t>extérieur de l</w:t>
      </w:r>
      <w:r w:rsidR="00603708">
        <w:rPr>
          <w:lang w:val="fr-FR"/>
        </w:rPr>
        <w:t>’</w:t>
      </w:r>
      <w:r w:rsidR="00730D47" w:rsidRPr="00730D47">
        <w:rPr>
          <w:lang w:val="fr-FR"/>
        </w:rPr>
        <w:t>école Diaz-Pertini et qui n</w:t>
      </w:r>
      <w:r w:rsidR="00603708">
        <w:rPr>
          <w:lang w:val="fr-FR"/>
        </w:rPr>
        <w:t>’</w:t>
      </w:r>
      <w:r w:rsidR="00730D47" w:rsidRPr="00730D47">
        <w:rPr>
          <w:lang w:val="fr-FR"/>
        </w:rPr>
        <w:t>avaient pas montré le moindre signe de résistance auraient été immédiatement attaquées par les forces de l</w:t>
      </w:r>
      <w:r w:rsidR="00603708">
        <w:rPr>
          <w:lang w:val="fr-FR"/>
        </w:rPr>
        <w:t>’</w:t>
      </w:r>
      <w:r w:rsidR="00730D47" w:rsidRPr="00730D47">
        <w:rPr>
          <w:lang w:val="fr-FR"/>
        </w:rPr>
        <w:t>ordre.</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67</w:t>
      </w:r>
      <w:r>
        <w:rPr>
          <w:lang w:val="fr-FR"/>
        </w:rPr>
        <w:fldChar w:fldCharType="end"/>
      </w:r>
      <w:r>
        <w:rPr>
          <w:lang w:val="fr-FR"/>
        </w:rPr>
        <w:t>.  </w:t>
      </w:r>
      <w:r w:rsidR="00730D47" w:rsidRPr="00730D47">
        <w:rPr>
          <w:lang w:val="fr-FR"/>
        </w:rPr>
        <w:t>En troisième lieu, les forces de l</w:t>
      </w:r>
      <w:r w:rsidR="00603708">
        <w:rPr>
          <w:lang w:val="fr-FR"/>
        </w:rPr>
        <w:t>’</w:t>
      </w:r>
      <w:r w:rsidR="00730D47" w:rsidRPr="00730D47">
        <w:rPr>
          <w:lang w:val="fr-FR"/>
        </w:rPr>
        <w:t>ordre auraient donné l</w:t>
      </w:r>
      <w:r w:rsidR="00603708">
        <w:rPr>
          <w:lang w:val="fr-FR"/>
        </w:rPr>
        <w:t>’</w:t>
      </w:r>
      <w:r w:rsidR="00730D47" w:rsidRPr="00730D47">
        <w:rPr>
          <w:lang w:val="fr-FR"/>
        </w:rPr>
        <w:t>assaut en défonçant les portes sans avoir essayé ni de parlementer avec les occupants en leur expliquant qu</w:t>
      </w:r>
      <w:r w:rsidR="00603708">
        <w:rPr>
          <w:lang w:val="fr-FR"/>
        </w:rPr>
        <w:t>’</w:t>
      </w:r>
      <w:r w:rsidR="00730D47" w:rsidRPr="00730D47">
        <w:rPr>
          <w:lang w:val="fr-FR"/>
        </w:rPr>
        <w:t>une « perquisition inoffensive » devait avoir lieu, ni de se faire ouvrir pacifiquement la porte, légitimement fermée par ceux-ci</w:t>
      </w:r>
      <w:r w:rsidR="00BE27A8">
        <w:rPr>
          <w:lang w:val="fr-FR"/>
        </w:rPr>
        <w:t xml:space="preserve"> selon la cour d</w:t>
      </w:r>
      <w:r w:rsidR="00603708">
        <w:rPr>
          <w:lang w:val="fr-FR"/>
        </w:rPr>
        <w:t>’</w:t>
      </w:r>
      <w:r w:rsidR="00BE27A8">
        <w:rPr>
          <w:lang w:val="fr-FR"/>
        </w:rPr>
        <w:t>appel</w:t>
      </w:r>
      <w:r w:rsidR="00730D47" w:rsidRPr="00730D47">
        <w:rPr>
          <w:lang w:val="fr-FR"/>
        </w:rPr>
        <w:t>. Une fois dans le bâtiment, les agents auraient systématiquement frappé les occupants d</w:t>
      </w:r>
      <w:r w:rsidR="00603708">
        <w:rPr>
          <w:lang w:val="fr-FR"/>
        </w:rPr>
        <w:t>’</w:t>
      </w:r>
      <w:r w:rsidR="00730D47" w:rsidRPr="00730D47">
        <w:rPr>
          <w:lang w:val="fr-FR"/>
        </w:rPr>
        <w:t>une façon cruelle et sadique, y</w:t>
      </w:r>
      <w:r w:rsidR="00007929">
        <w:rPr>
          <w:lang w:val="fr-FR"/>
        </w:rPr>
        <w:t> </w:t>
      </w:r>
      <w:r w:rsidR="00730D47" w:rsidRPr="00730D47">
        <w:rPr>
          <w:lang w:val="fr-FR"/>
        </w:rPr>
        <w:t xml:space="preserve">compris au moyen de </w:t>
      </w:r>
      <w:r w:rsidR="00A95CE3">
        <w:rPr>
          <w:lang w:val="fr-FR"/>
        </w:rPr>
        <w:t>matraques</w:t>
      </w:r>
      <w:r w:rsidR="00A95CE3" w:rsidRPr="00730D47">
        <w:rPr>
          <w:lang w:val="fr-FR"/>
        </w:rPr>
        <w:t xml:space="preserve"> </w:t>
      </w:r>
      <w:r w:rsidR="00730D47" w:rsidRPr="00730D47">
        <w:rPr>
          <w:lang w:val="fr-FR"/>
        </w:rPr>
        <w:t>non réglementaires. Selon la cour d</w:t>
      </w:r>
      <w:r w:rsidR="00603708">
        <w:rPr>
          <w:lang w:val="fr-FR"/>
        </w:rPr>
        <w:t>’</w:t>
      </w:r>
      <w:r w:rsidR="00730D47" w:rsidRPr="00730D47">
        <w:rPr>
          <w:lang w:val="fr-FR"/>
        </w:rPr>
        <w:t xml:space="preserve">appel, les traces de sang </w:t>
      </w:r>
      <w:r w:rsidR="00986E18">
        <w:rPr>
          <w:lang w:val="fr-FR"/>
        </w:rPr>
        <w:t>visibles sur</w:t>
      </w:r>
      <w:r w:rsidR="00730D47" w:rsidRPr="00730D47">
        <w:rPr>
          <w:lang w:val="fr-FR"/>
        </w:rPr>
        <w:t xml:space="preserve"> les photos prises au cours de l</w:t>
      </w:r>
      <w:r w:rsidR="00603708">
        <w:rPr>
          <w:lang w:val="fr-FR"/>
        </w:rPr>
        <w:t>’</w:t>
      </w:r>
      <w:r w:rsidR="00730D47" w:rsidRPr="00730D47">
        <w:rPr>
          <w:lang w:val="fr-FR"/>
        </w:rPr>
        <w:t>inspection des lieux étaient fraîches et ne pouvaient être que le résultat de ces violences, contrairement à « la thèse honteuse » (« </w:t>
      </w:r>
      <w:r w:rsidR="00730D47" w:rsidRPr="00730D47">
        <w:rPr>
          <w:i/>
          <w:lang w:val="fr-FR"/>
        </w:rPr>
        <w:t>vergognosa tesi</w:t>
      </w:r>
      <w:r w:rsidR="00730D47" w:rsidRPr="00730D47">
        <w:rPr>
          <w:lang w:val="fr-FR"/>
        </w:rPr>
        <w:t> ») selon laquelle elles provenaient des blessures survenues lors des accrochages des jours précédents.</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68</w:t>
      </w:r>
      <w:r>
        <w:rPr>
          <w:lang w:val="fr-FR"/>
        </w:rPr>
        <w:fldChar w:fldCharType="end"/>
      </w:r>
      <w:r>
        <w:rPr>
          <w:lang w:val="fr-FR"/>
        </w:rPr>
        <w:t>.  </w:t>
      </w:r>
      <w:r w:rsidR="00940E04">
        <w:rPr>
          <w:rFonts w:cstheme="minorHAnsi"/>
          <w:lang w:val="fr-FR"/>
        </w:rPr>
        <w:t>À</w:t>
      </w:r>
      <w:r w:rsidR="00730D47" w:rsidRPr="00730D47">
        <w:rPr>
          <w:lang w:val="fr-FR"/>
        </w:rPr>
        <w:t xml:space="preserve"> la lumière de ces éléments, la cour d</w:t>
      </w:r>
      <w:r w:rsidR="00603708">
        <w:rPr>
          <w:lang w:val="fr-FR"/>
        </w:rPr>
        <w:t>’</w:t>
      </w:r>
      <w:r w:rsidR="00730D47" w:rsidRPr="00730D47">
        <w:rPr>
          <w:lang w:val="fr-FR"/>
        </w:rPr>
        <w:t>appel estima que le but de toute l</w:t>
      </w:r>
      <w:r w:rsidR="00603708">
        <w:rPr>
          <w:lang w:val="fr-FR"/>
        </w:rPr>
        <w:t>’</w:t>
      </w:r>
      <w:r w:rsidR="00730D47" w:rsidRPr="00730D47">
        <w:rPr>
          <w:lang w:val="fr-FR"/>
        </w:rPr>
        <w:t>opération était de procéder à de nombreuses arrestations, même en l</w:t>
      </w:r>
      <w:r w:rsidR="00603708">
        <w:rPr>
          <w:lang w:val="fr-FR"/>
        </w:rPr>
        <w:t>’</w:t>
      </w:r>
      <w:r w:rsidR="00730D47" w:rsidRPr="00730D47">
        <w:rPr>
          <w:lang w:val="fr-FR"/>
        </w:rPr>
        <w:t>absence de finalité d</w:t>
      </w:r>
      <w:r w:rsidR="00603708">
        <w:rPr>
          <w:lang w:val="fr-FR"/>
        </w:rPr>
        <w:t>’</w:t>
      </w:r>
      <w:r w:rsidR="00730D47" w:rsidRPr="00730D47">
        <w:rPr>
          <w:lang w:val="fr-FR"/>
        </w:rPr>
        <w:t>ordre judiciaire, l</w:t>
      </w:r>
      <w:r w:rsidR="00603708">
        <w:rPr>
          <w:lang w:val="fr-FR"/>
        </w:rPr>
        <w:t>’</w:t>
      </w:r>
      <w:r w:rsidR="00730D47" w:rsidRPr="00730D47">
        <w:rPr>
          <w:lang w:val="fr-FR"/>
        </w:rPr>
        <w:t>essentiel étant que celles-ci parviennent à restaurer auprès des médias l</w:t>
      </w:r>
      <w:r w:rsidR="00603708">
        <w:rPr>
          <w:lang w:val="fr-FR"/>
        </w:rPr>
        <w:t>’</w:t>
      </w:r>
      <w:r w:rsidR="00730D47" w:rsidRPr="00730D47">
        <w:rPr>
          <w:lang w:val="fr-FR"/>
        </w:rPr>
        <w:t>image d</w:t>
      </w:r>
      <w:r w:rsidR="00603708">
        <w:rPr>
          <w:lang w:val="fr-FR"/>
        </w:rPr>
        <w:t>’</w:t>
      </w:r>
      <w:r w:rsidR="00730D47" w:rsidRPr="00730D47">
        <w:rPr>
          <w:lang w:val="fr-FR"/>
        </w:rPr>
        <w:t>une police</w:t>
      </w:r>
      <w:r w:rsidR="00986E18">
        <w:rPr>
          <w:lang w:val="fr-FR"/>
        </w:rPr>
        <w:t xml:space="preserve"> perçue comme</w:t>
      </w:r>
      <w:r w:rsidR="00730D47" w:rsidRPr="00730D47">
        <w:rPr>
          <w:lang w:val="fr-FR"/>
        </w:rPr>
        <w:t xml:space="preserve"> impuissante. Les plus hauts fonctionnaires des forces de l</w:t>
      </w:r>
      <w:r w:rsidR="00603708">
        <w:rPr>
          <w:lang w:val="fr-FR"/>
        </w:rPr>
        <w:t>’</w:t>
      </w:r>
      <w:r w:rsidR="00730D47" w:rsidRPr="00730D47">
        <w:rPr>
          <w:lang w:val="fr-FR"/>
        </w:rPr>
        <w:t xml:space="preserve">ordre auraient donc rassemblé autour du </w:t>
      </w:r>
      <w:r w:rsidR="00730D47" w:rsidRPr="00730D47">
        <w:rPr>
          <w:i/>
          <w:lang w:val="fr-FR"/>
        </w:rPr>
        <w:t xml:space="preserve">VII Nucleo antisommossa </w:t>
      </w:r>
      <w:r w:rsidR="00730D47" w:rsidRPr="00730D47">
        <w:rPr>
          <w:lang w:val="fr-FR"/>
        </w:rPr>
        <w:t xml:space="preserve">une unité lourdement armée, équipée de matraques de type </w:t>
      </w:r>
      <w:r w:rsidR="00730D47" w:rsidRPr="00730D47">
        <w:rPr>
          <w:i/>
          <w:lang w:val="fr-FR"/>
        </w:rPr>
        <w:t>tonfa</w:t>
      </w:r>
      <w:r w:rsidR="00730D47" w:rsidRPr="00730D47">
        <w:rPr>
          <w:lang w:val="fr-FR"/>
        </w:rPr>
        <w:t xml:space="preserve"> dont les coups pouvaient être mortels, et lui auraient donné pour unique consigne de neutraliser les occupants de l</w:t>
      </w:r>
      <w:r w:rsidR="00603708">
        <w:rPr>
          <w:lang w:val="fr-FR"/>
        </w:rPr>
        <w:t>’</w:t>
      </w:r>
      <w:r w:rsidR="00730D47" w:rsidRPr="00730D47">
        <w:rPr>
          <w:lang w:val="fr-FR"/>
        </w:rPr>
        <w:t>école Diaz-Pertini, en stigmatisant ceux-ci comme étant de dangereux casseurs, auteurs des saccages des jours précédents. La conduite violente et coordonnée de tous les agents ayant participé à l</w:t>
      </w:r>
      <w:r w:rsidR="00603708">
        <w:rPr>
          <w:lang w:val="fr-FR"/>
        </w:rPr>
        <w:t>’</w:t>
      </w:r>
      <w:r w:rsidR="00730D47" w:rsidRPr="00730D47">
        <w:rPr>
          <w:lang w:val="fr-FR"/>
        </w:rPr>
        <w:t>opération aurait été la conséquence naturelle de ces indications.</w:t>
      </w:r>
    </w:p>
    <w:p w:rsidR="00730D47" w:rsidRPr="00730D47" w:rsidRDefault="00625DB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69</w:t>
      </w:r>
      <w:r>
        <w:rPr>
          <w:lang w:val="fr-FR"/>
        </w:rPr>
        <w:fldChar w:fldCharType="end"/>
      </w:r>
      <w:r>
        <w:rPr>
          <w:lang w:val="fr-FR"/>
        </w:rPr>
        <w:t>.  </w:t>
      </w:r>
      <w:r w:rsidR="00730D47" w:rsidRPr="00730D47">
        <w:rPr>
          <w:lang w:val="fr-FR"/>
        </w:rPr>
        <w:t>Ainsi, d</w:t>
      </w:r>
      <w:r w:rsidR="00603708">
        <w:rPr>
          <w:lang w:val="fr-FR"/>
        </w:rPr>
        <w:t>’</w:t>
      </w:r>
      <w:r w:rsidR="00730D47" w:rsidRPr="00730D47">
        <w:rPr>
          <w:lang w:val="fr-FR"/>
        </w:rPr>
        <w:t>après la cour d</w:t>
      </w:r>
      <w:r w:rsidR="00603708">
        <w:rPr>
          <w:lang w:val="fr-FR"/>
        </w:rPr>
        <w:t>’</w:t>
      </w:r>
      <w:r w:rsidR="00730D47" w:rsidRPr="00730D47">
        <w:rPr>
          <w:lang w:val="fr-FR"/>
        </w:rPr>
        <w:t xml:space="preserve">appel, au moins tous les fonctionnaires en chef et les cadres du </w:t>
      </w:r>
      <w:r w:rsidR="00730D47" w:rsidRPr="00730D47">
        <w:rPr>
          <w:i/>
          <w:lang w:val="fr-FR"/>
        </w:rPr>
        <w:t>VII Nucleo antisommossa</w:t>
      </w:r>
      <w:r w:rsidR="00730D47" w:rsidRPr="00730D47">
        <w:rPr>
          <w:lang w:val="fr-FR"/>
        </w:rPr>
        <w:t xml:space="preserve"> étaient coupables des lésions infligées aux occupants. Quant aux responsables de la police de rang plus élevé, la cour d</w:t>
      </w:r>
      <w:r w:rsidR="00603708">
        <w:rPr>
          <w:lang w:val="fr-FR"/>
        </w:rPr>
        <w:t>’</w:t>
      </w:r>
      <w:r w:rsidR="00730D47" w:rsidRPr="00730D47">
        <w:rPr>
          <w:lang w:val="fr-FR"/>
        </w:rPr>
        <w:t>appel précisa que la décision de ne pas demander leur renvoi en jugement empêchait d</w:t>
      </w:r>
      <w:r w:rsidR="00603708">
        <w:rPr>
          <w:lang w:val="fr-FR"/>
        </w:rPr>
        <w:t>’</w:t>
      </w:r>
      <w:r w:rsidR="00730D47" w:rsidRPr="00730D47">
        <w:rPr>
          <w:lang w:val="fr-FR"/>
        </w:rPr>
        <w:t>apprécier leur responsabilité au pénal.</w:t>
      </w:r>
    </w:p>
    <w:p w:rsidR="00730D47" w:rsidRPr="00730D47" w:rsidRDefault="00CA3929"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70</w:t>
      </w:r>
      <w:r>
        <w:rPr>
          <w:lang w:val="fr-FR"/>
        </w:rPr>
        <w:fldChar w:fldCharType="end"/>
      </w:r>
      <w:r>
        <w:rPr>
          <w:lang w:val="fr-FR"/>
        </w:rPr>
        <w:t>.  </w:t>
      </w:r>
      <w:r w:rsidR="00986E18">
        <w:rPr>
          <w:lang w:val="fr-FR"/>
        </w:rPr>
        <w:t>De plus, s</w:t>
      </w:r>
      <w:r w:rsidR="00730D47" w:rsidRPr="00730D47">
        <w:rPr>
          <w:lang w:val="fr-FR"/>
        </w:rPr>
        <w:t>elon la cour d</w:t>
      </w:r>
      <w:r w:rsidR="00603708">
        <w:rPr>
          <w:lang w:val="fr-FR"/>
        </w:rPr>
        <w:t>’</w:t>
      </w:r>
      <w:r w:rsidR="00730D47" w:rsidRPr="00730D47">
        <w:rPr>
          <w:lang w:val="fr-FR"/>
        </w:rPr>
        <w:t xml:space="preserve">appel, une fois </w:t>
      </w:r>
      <w:r w:rsidR="006A01FE" w:rsidRPr="00730D47">
        <w:rPr>
          <w:lang w:val="fr-FR"/>
        </w:rPr>
        <w:t xml:space="preserve">prise </w:t>
      </w:r>
      <w:r w:rsidR="00730D47" w:rsidRPr="00730D47">
        <w:rPr>
          <w:lang w:val="fr-FR"/>
        </w:rPr>
        <w:t>la décision d</w:t>
      </w:r>
      <w:r w:rsidR="00603708">
        <w:rPr>
          <w:lang w:val="fr-FR"/>
        </w:rPr>
        <w:t>’</w:t>
      </w:r>
      <w:r w:rsidR="00730D47" w:rsidRPr="00730D47">
        <w:rPr>
          <w:lang w:val="fr-FR"/>
        </w:rPr>
        <w:t>investir l</w:t>
      </w:r>
      <w:r w:rsidR="00603708">
        <w:rPr>
          <w:lang w:val="fr-FR"/>
        </w:rPr>
        <w:t>’</w:t>
      </w:r>
      <w:r w:rsidR="00730D47" w:rsidRPr="00730D47">
        <w:rPr>
          <w:lang w:val="fr-FR"/>
        </w:rPr>
        <w:t>établissement et de procéder aux arrestations, les forces de l</w:t>
      </w:r>
      <w:r w:rsidR="00603708">
        <w:rPr>
          <w:lang w:val="fr-FR"/>
        </w:rPr>
        <w:t>’</w:t>
      </w:r>
      <w:r w:rsidR="00730D47" w:rsidRPr="00730D47">
        <w:rPr>
          <w:lang w:val="fr-FR"/>
        </w:rPr>
        <w:t xml:space="preserve">ordre avaient tenté de justifier leur intervention </w:t>
      </w:r>
      <w:r w:rsidR="00730D47" w:rsidRPr="00730D47">
        <w:rPr>
          <w:i/>
          <w:lang w:val="fr-FR"/>
        </w:rPr>
        <w:t>a posteriori</w:t>
      </w:r>
      <w:r w:rsidR="00730D47" w:rsidRPr="00730D47">
        <w:rPr>
          <w:lang w:val="fr-FR"/>
        </w:rPr>
        <w:t>.</w:t>
      </w:r>
    </w:p>
    <w:p w:rsidR="00730D47" w:rsidRPr="00730D47" w:rsidRDefault="00CA3929"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71</w:t>
      </w:r>
      <w:r>
        <w:rPr>
          <w:lang w:val="fr-FR"/>
        </w:rPr>
        <w:fldChar w:fldCharType="end"/>
      </w:r>
      <w:r>
        <w:rPr>
          <w:lang w:val="fr-FR"/>
        </w:rPr>
        <w:t>.  </w:t>
      </w:r>
      <w:r w:rsidRPr="00730D47">
        <w:rPr>
          <w:lang w:val="fr-FR"/>
        </w:rPr>
        <w:t>À</w:t>
      </w:r>
      <w:r w:rsidR="00730D47" w:rsidRPr="00730D47">
        <w:rPr>
          <w:lang w:val="fr-FR"/>
        </w:rPr>
        <w:t xml:space="preserve"> cet égard, la cour d</w:t>
      </w:r>
      <w:r w:rsidR="00603708">
        <w:rPr>
          <w:lang w:val="fr-FR"/>
        </w:rPr>
        <w:t>’</w:t>
      </w:r>
      <w:r w:rsidR="00730D47" w:rsidRPr="00730D47">
        <w:rPr>
          <w:lang w:val="fr-FR"/>
        </w:rPr>
        <w:t>appel nota, d</w:t>
      </w:r>
      <w:r w:rsidR="00603708">
        <w:rPr>
          <w:lang w:val="fr-FR"/>
        </w:rPr>
        <w:t>’</w:t>
      </w:r>
      <w:r w:rsidR="00730D47" w:rsidRPr="00730D47">
        <w:rPr>
          <w:lang w:val="fr-FR"/>
        </w:rPr>
        <w:t>une part, que, au cours de l</w:t>
      </w:r>
      <w:r w:rsidR="00603708">
        <w:rPr>
          <w:lang w:val="fr-FR"/>
        </w:rPr>
        <w:t>’</w:t>
      </w:r>
      <w:r w:rsidR="00730D47" w:rsidRPr="00730D47">
        <w:rPr>
          <w:lang w:val="fr-FR"/>
        </w:rPr>
        <w:t>enquête, on avait attribué aux occupants des délits qu</w:t>
      </w:r>
      <w:r w:rsidR="00603708">
        <w:rPr>
          <w:lang w:val="fr-FR"/>
        </w:rPr>
        <w:t>’</w:t>
      </w:r>
      <w:r w:rsidR="00730D47" w:rsidRPr="00730D47">
        <w:rPr>
          <w:lang w:val="fr-FR"/>
        </w:rPr>
        <w:t>ils n</w:t>
      </w:r>
      <w:r w:rsidR="00603708">
        <w:rPr>
          <w:lang w:val="fr-FR"/>
        </w:rPr>
        <w:t>’</w:t>
      </w:r>
      <w:r w:rsidR="00730D47" w:rsidRPr="00730D47">
        <w:rPr>
          <w:lang w:val="fr-FR"/>
        </w:rPr>
        <w:t>avaient pas commis : en effet, selon elle, il ne ressortait aucunement de l</w:t>
      </w:r>
      <w:r w:rsidR="00603708">
        <w:rPr>
          <w:lang w:val="fr-FR"/>
        </w:rPr>
        <w:t>’</w:t>
      </w:r>
      <w:r w:rsidR="00730D47" w:rsidRPr="00730D47">
        <w:rPr>
          <w:lang w:val="fr-FR"/>
        </w:rPr>
        <w:t>instruction ni que les occupants eussent résisté aux forces de l</w:t>
      </w:r>
      <w:r w:rsidR="00603708">
        <w:rPr>
          <w:lang w:val="fr-FR"/>
        </w:rPr>
        <w:t>’</w:t>
      </w:r>
      <w:r w:rsidR="00730D47" w:rsidRPr="00730D47">
        <w:rPr>
          <w:lang w:val="fr-FR"/>
        </w:rPr>
        <w:t>ordre ni qu</w:t>
      </w:r>
      <w:r w:rsidR="00603708">
        <w:rPr>
          <w:lang w:val="fr-FR"/>
        </w:rPr>
        <w:t>’</w:t>
      </w:r>
      <w:r w:rsidR="00730D47" w:rsidRPr="00730D47">
        <w:rPr>
          <w:lang w:val="fr-FR"/>
        </w:rPr>
        <w:t>ils eussent lancé des objets sur elles tandis qu</w:t>
      </w:r>
      <w:r w:rsidR="00603708">
        <w:rPr>
          <w:lang w:val="fr-FR"/>
        </w:rPr>
        <w:t>’</w:t>
      </w:r>
      <w:r w:rsidR="00730D47" w:rsidRPr="00730D47">
        <w:rPr>
          <w:lang w:val="fr-FR"/>
        </w:rPr>
        <w:t>elles stationnaient dans la cour de l</w:t>
      </w:r>
      <w:r w:rsidR="00603708">
        <w:rPr>
          <w:lang w:val="fr-FR"/>
        </w:rPr>
        <w:t>’</w:t>
      </w:r>
      <w:r w:rsidR="00730D47" w:rsidRPr="00730D47">
        <w:rPr>
          <w:lang w:val="fr-FR"/>
        </w:rPr>
        <w:t>école, les boucliers de quelques agents étant levés vraisemblablement par simple précaution ; et surtout, compte tenu de l</w:t>
      </w:r>
      <w:r w:rsidR="00603708">
        <w:rPr>
          <w:lang w:val="fr-FR"/>
        </w:rPr>
        <w:t>’</w:t>
      </w:r>
      <w:r w:rsidR="00730D47" w:rsidRPr="00730D47">
        <w:rPr>
          <w:lang w:val="fr-FR"/>
        </w:rPr>
        <w:t>ensemble des circonstances, l</w:t>
      </w:r>
      <w:r w:rsidR="00603708">
        <w:rPr>
          <w:lang w:val="fr-FR"/>
        </w:rPr>
        <w:t>’</w:t>
      </w:r>
      <w:r w:rsidR="00730D47" w:rsidRPr="00730D47">
        <w:rPr>
          <w:lang w:val="fr-FR"/>
        </w:rPr>
        <w:t>agression au couteau prétendument subie par un agent au cours de l</w:t>
      </w:r>
      <w:r w:rsidR="00603708">
        <w:rPr>
          <w:lang w:val="fr-FR"/>
        </w:rPr>
        <w:t>’</w:t>
      </w:r>
      <w:r w:rsidR="00730D47" w:rsidRPr="00730D47">
        <w:rPr>
          <w:lang w:val="fr-FR"/>
        </w:rPr>
        <w:t>irruption se serait révélée comme étant une « impudente mise en scène ».</w:t>
      </w:r>
    </w:p>
    <w:p w:rsidR="00730D47" w:rsidRPr="00730D47" w:rsidRDefault="00CA3929"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72</w:t>
      </w:r>
      <w:r>
        <w:rPr>
          <w:lang w:val="fr-FR"/>
        </w:rPr>
        <w:fldChar w:fldCharType="end"/>
      </w:r>
      <w:r>
        <w:rPr>
          <w:lang w:val="fr-FR"/>
        </w:rPr>
        <w:t>.  </w:t>
      </w:r>
      <w:r w:rsidR="00730D47" w:rsidRPr="00730D47">
        <w:rPr>
          <w:lang w:val="fr-FR"/>
        </w:rPr>
        <w:t>La cour d</w:t>
      </w:r>
      <w:r w:rsidR="00603708">
        <w:rPr>
          <w:lang w:val="fr-FR"/>
        </w:rPr>
        <w:t>’</w:t>
      </w:r>
      <w:r w:rsidR="00730D47" w:rsidRPr="00730D47">
        <w:rPr>
          <w:lang w:val="fr-FR"/>
        </w:rPr>
        <w:t>appel releva d</w:t>
      </w:r>
      <w:r w:rsidR="00603708">
        <w:rPr>
          <w:lang w:val="fr-FR"/>
        </w:rPr>
        <w:t>’</w:t>
      </w:r>
      <w:r w:rsidR="00730D47" w:rsidRPr="00730D47">
        <w:rPr>
          <w:lang w:val="fr-FR"/>
        </w:rPr>
        <w:t>autre part que les plus hauts fonctionnaires des forces de l</w:t>
      </w:r>
      <w:r w:rsidR="00603708">
        <w:rPr>
          <w:lang w:val="fr-FR"/>
        </w:rPr>
        <w:t>’</w:t>
      </w:r>
      <w:r w:rsidR="00730D47" w:rsidRPr="00730D47">
        <w:rPr>
          <w:lang w:val="fr-FR"/>
        </w:rPr>
        <w:t>ordre, présents sur les lieux, avaient convenu de placer les deux cocktails Molotov, trouvés ailleurs au cours de l</w:t>
      </w:r>
      <w:r w:rsidR="00603708">
        <w:rPr>
          <w:lang w:val="fr-FR"/>
        </w:rPr>
        <w:t>’</w:t>
      </w:r>
      <w:r w:rsidR="00730D47" w:rsidRPr="00730D47">
        <w:rPr>
          <w:lang w:val="fr-FR"/>
        </w:rPr>
        <w:t>après-midi, parmi les objets recueillis lors de la perquisition, et ce dans le but de justifier la décision d</w:t>
      </w:r>
      <w:r w:rsidR="00603708">
        <w:rPr>
          <w:lang w:val="fr-FR"/>
        </w:rPr>
        <w:t>’</w:t>
      </w:r>
      <w:r w:rsidR="00730D47" w:rsidRPr="00730D47">
        <w:rPr>
          <w:lang w:val="fr-FR"/>
        </w:rPr>
        <w:t>effectuer la perquisition et d</w:t>
      </w:r>
      <w:r w:rsidR="00603708">
        <w:rPr>
          <w:lang w:val="fr-FR"/>
        </w:rPr>
        <w:t>’</w:t>
      </w:r>
      <w:r w:rsidR="00730D47" w:rsidRPr="00730D47">
        <w:rPr>
          <w:lang w:val="fr-FR"/>
        </w:rPr>
        <w:t>arrêter les occupants de l</w:t>
      </w:r>
      <w:r w:rsidR="00603708">
        <w:rPr>
          <w:lang w:val="fr-FR"/>
        </w:rPr>
        <w:t>’</w:t>
      </w:r>
      <w:r w:rsidR="00730D47" w:rsidRPr="00730D47">
        <w:rPr>
          <w:lang w:val="fr-FR"/>
        </w:rPr>
        <w:t>école. Pour la cour d</w:t>
      </w:r>
      <w:r w:rsidR="00603708">
        <w:rPr>
          <w:lang w:val="fr-FR"/>
        </w:rPr>
        <w:t>’</w:t>
      </w:r>
      <w:r w:rsidR="00730D47" w:rsidRPr="00730D47">
        <w:rPr>
          <w:lang w:val="fr-FR"/>
        </w:rPr>
        <w:t>appel, cette arrestation, dépourvue de toute base factuelle et juridique, avait donc été illégale.</w:t>
      </w:r>
    </w:p>
    <w:p w:rsidR="0032468C" w:rsidRDefault="00CA3929"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73</w:t>
      </w:r>
      <w:r>
        <w:rPr>
          <w:lang w:val="fr-FR"/>
        </w:rPr>
        <w:fldChar w:fldCharType="end"/>
      </w:r>
      <w:r>
        <w:rPr>
          <w:lang w:val="fr-FR"/>
        </w:rPr>
        <w:t>.  </w:t>
      </w:r>
      <w:r w:rsidR="00730D47" w:rsidRPr="00730D47">
        <w:rPr>
          <w:lang w:val="fr-FR"/>
        </w:rPr>
        <w:t>Dans la détermination des peines à infliger, la cour d</w:t>
      </w:r>
      <w:r w:rsidR="00603708">
        <w:rPr>
          <w:lang w:val="fr-FR"/>
        </w:rPr>
        <w:t>’</w:t>
      </w:r>
      <w:r w:rsidR="00730D47" w:rsidRPr="00730D47">
        <w:rPr>
          <w:lang w:val="fr-FR"/>
        </w:rPr>
        <w:t xml:space="preserve">appel estima que, exception faite du chef du </w:t>
      </w:r>
      <w:r w:rsidR="00730D47" w:rsidRPr="00730D47">
        <w:rPr>
          <w:i/>
          <w:lang w:val="fr-FR"/>
        </w:rPr>
        <w:t>VII Nucleo antisommossa</w:t>
      </w:r>
      <w:r w:rsidR="00730D47" w:rsidRPr="00730D47">
        <w:rPr>
          <w:lang w:val="fr-FR"/>
        </w:rPr>
        <w:t xml:space="preserve"> qui avait essayé de limiter les violences et avait, finalement, avoué les délits au cours des débats,</w:t>
      </w:r>
      <w:r w:rsidR="00730D47" w:rsidRPr="00730D47">
        <w:rPr>
          <w:i/>
          <w:lang w:val="fr-FR"/>
        </w:rPr>
        <w:t xml:space="preserve"> </w:t>
      </w:r>
      <w:r w:rsidR="00730D47" w:rsidRPr="00730D47">
        <w:rPr>
          <w:lang w:val="fr-FR"/>
        </w:rPr>
        <w:t>aucune circonstance atténuante ne pouvait être retenue pour les autres accusés. S</w:t>
      </w:r>
      <w:r w:rsidR="00603708">
        <w:rPr>
          <w:lang w:val="fr-FR"/>
        </w:rPr>
        <w:t>’</w:t>
      </w:r>
      <w:r w:rsidR="00730D47" w:rsidRPr="00730D47">
        <w:rPr>
          <w:lang w:val="fr-FR"/>
        </w:rPr>
        <w:t>appuyant notamment sur le</w:t>
      </w:r>
      <w:r w:rsidR="006A01FE">
        <w:rPr>
          <w:lang w:val="fr-FR"/>
        </w:rPr>
        <w:t>s déclarations</w:t>
      </w:r>
      <w:r w:rsidR="00730D47" w:rsidRPr="00730D47">
        <w:rPr>
          <w:lang w:val="fr-FR"/>
        </w:rPr>
        <w:t xml:space="preserve"> du requérant, la cour d</w:t>
      </w:r>
      <w:r w:rsidR="00603708">
        <w:rPr>
          <w:lang w:val="fr-FR"/>
        </w:rPr>
        <w:t>’</w:t>
      </w:r>
      <w:r w:rsidR="00730D47" w:rsidRPr="00730D47">
        <w:rPr>
          <w:lang w:val="fr-FR"/>
        </w:rPr>
        <w:t>appel souligna que les agents des forces de l</w:t>
      </w:r>
      <w:r w:rsidR="00603708">
        <w:rPr>
          <w:lang w:val="fr-FR"/>
        </w:rPr>
        <w:t>’</w:t>
      </w:r>
      <w:r w:rsidR="00730D47" w:rsidRPr="00730D47">
        <w:rPr>
          <w:lang w:val="fr-FR"/>
        </w:rPr>
        <w:t>ordre s</w:t>
      </w:r>
      <w:r w:rsidR="00603708">
        <w:rPr>
          <w:lang w:val="fr-FR"/>
        </w:rPr>
        <w:t>’</w:t>
      </w:r>
      <w:r w:rsidR="00730D47" w:rsidRPr="00730D47">
        <w:rPr>
          <w:lang w:val="fr-FR"/>
        </w:rPr>
        <w:t xml:space="preserve">étaient transformés en « matraqueurs violents », </w:t>
      </w:r>
      <w:r w:rsidR="00986E18">
        <w:rPr>
          <w:lang w:val="fr-FR"/>
        </w:rPr>
        <w:t>indifférent</w:t>
      </w:r>
      <w:r w:rsidR="00986E18" w:rsidRPr="00730D47">
        <w:rPr>
          <w:lang w:val="fr-FR"/>
        </w:rPr>
        <w:t xml:space="preserve">s </w:t>
      </w:r>
      <w:r w:rsidR="00730D47" w:rsidRPr="00730D47">
        <w:rPr>
          <w:lang w:val="fr-FR"/>
        </w:rPr>
        <w:t xml:space="preserve">à toute </w:t>
      </w:r>
      <w:r w:rsidR="00986E18">
        <w:rPr>
          <w:lang w:val="fr-FR"/>
        </w:rPr>
        <w:t>vulnérabilité</w:t>
      </w:r>
      <w:r w:rsidR="00730D47" w:rsidRPr="00730D47">
        <w:rPr>
          <w:lang w:val="fr-FR"/>
        </w:rPr>
        <w:t xml:space="preserve"> physique liée au sexe et à l</w:t>
      </w:r>
      <w:r w:rsidR="00603708">
        <w:rPr>
          <w:lang w:val="fr-FR"/>
        </w:rPr>
        <w:t>’</w:t>
      </w:r>
      <w:r w:rsidR="00730D47" w:rsidRPr="00730D47">
        <w:rPr>
          <w:lang w:val="fr-FR"/>
        </w:rPr>
        <w:t>âge ainsi qu</w:t>
      </w:r>
      <w:r w:rsidR="00603708">
        <w:rPr>
          <w:lang w:val="fr-FR"/>
        </w:rPr>
        <w:t>’</w:t>
      </w:r>
      <w:r w:rsidR="00730D47" w:rsidRPr="00730D47">
        <w:rPr>
          <w:lang w:val="fr-FR"/>
        </w:rPr>
        <w:t xml:space="preserve">à tout signe de capitulation, même </w:t>
      </w:r>
      <w:r w:rsidR="00986E18">
        <w:rPr>
          <w:lang w:val="fr-FR"/>
        </w:rPr>
        <w:t>de la part de</w:t>
      </w:r>
      <w:r w:rsidR="00730D47" w:rsidRPr="00730D47">
        <w:rPr>
          <w:lang w:val="fr-FR"/>
        </w:rPr>
        <w:t xml:space="preserve"> personnes que le bruit de l</w:t>
      </w:r>
      <w:r w:rsidR="00603708">
        <w:rPr>
          <w:lang w:val="fr-FR"/>
        </w:rPr>
        <w:t>’</w:t>
      </w:r>
      <w:r w:rsidR="00730D47" w:rsidRPr="00730D47">
        <w:rPr>
          <w:lang w:val="fr-FR"/>
        </w:rPr>
        <w:t>assaut venait de réveiller brusquement. Elle indiqua que, à cela, les agents avaient ajouté injures et menaces. Ce faisant, ils auraient jeté sur l</w:t>
      </w:r>
      <w:r w:rsidR="00603708">
        <w:rPr>
          <w:lang w:val="fr-FR"/>
        </w:rPr>
        <w:t>’</w:t>
      </w:r>
      <w:r w:rsidR="00730D47" w:rsidRPr="00730D47">
        <w:rPr>
          <w:lang w:val="fr-FR"/>
        </w:rPr>
        <w:t>Italie le discrédit de l</w:t>
      </w:r>
      <w:r w:rsidR="00603708">
        <w:rPr>
          <w:lang w:val="fr-FR"/>
        </w:rPr>
        <w:t>’</w:t>
      </w:r>
      <w:r w:rsidR="00730D47" w:rsidRPr="00730D47">
        <w:rPr>
          <w:lang w:val="fr-FR"/>
        </w:rPr>
        <w:t>opinion publique internationale. De surcroît, une fois les violences perpétrées, les forces de l</w:t>
      </w:r>
      <w:r w:rsidR="00603708">
        <w:rPr>
          <w:lang w:val="fr-FR"/>
        </w:rPr>
        <w:t>’</w:t>
      </w:r>
      <w:r w:rsidR="00730D47" w:rsidRPr="00730D47">
        <w:rPr>
          <w:lang w:val="fr-FR"/>
        </w:rPr>
        <w:t>ordre a</w:t>
      </w:r>
      <w:r w:rsidR="00986E18">
        <w:rPr>
          <w:lang w:val="fr-FR"/>
        </w:rPr>
        <w:t>ur</w:t>
      </w:r>
      <w:r w:rsidR="00730D47" w:rsidRPr="00730D47">
        <w:rPr>
          <w:lang w:val="fr-FR"/>
        </w:rPr>
        <w:t>aient avancé toute une série de circonstances à la charge des occupa</w:t>
      </w:r>
      <w:r w:rsidR="00FD4CD3">
        <w:rPr>
          <w:lang w:val="fr-FR"/>
        </w:rPr>
        <w:t>nts, inventées de toutes pièces.</w:t>
      </w:r>
    </w:p>
    <w:p w:rsidR="00730D47" w:rsidRPr="00730D47" w:rsidRDefault="00FD4CD3" w:rsidP="00730D47">
      <w:pPr>
        <w:pStyle w:val="ECHRPara"/>
        <w:rPr>
          <w:lang w:val="fr-FR"/>
        </w:rPr>
      </w:pPr>
      <w:r>
        <w:rPr>
          <w:lang w:val="fr-FR"/>
        </w:rPr>
        <w:t>Le caractère systématique et coordonné des violences de la part des policiers ainsi que les</w:t>
      </w:r>
      <w:r w:rsidR="00F455DD">
        <w:rPr>
          <w:lang w:val="fr-FR"/>
        </w:rPr>
        <w:t>dites</w:t>
      </w:r>
      <w:r>
        <w:rPr>
          <w:lang w:val="fr-FR"/>
        </w:rPr>
        <w:t xml:space="preserve"> tentatives de les justifier </w:t>
      </w:r>
      <w:r>
        <w:rPr>
          <w:i/>
          <w:lang w:val="fr-FR"/>
        </w:rPr>
        <w:t>a posteriori</w:t>
      </w:r>
      <w:r w:rsidR="00730D47" w:rsidRPr="00730D47">
        <w:rPr>
          <w:lang w:val="fr-FR"/>
        </w:rPr>
        <w:t xml:space="preserve"> dénotai</w:t>
      </w:r>
      <w:r>
        <w:rPr>
          <w:lang w:val="fr-FR"/>
        </w:rPr>
        <w:t>en</w:t>
      </w:r>
      <w:r w:rsidR="00730D47" w:rsidRPr="00730D47">
        <w:rPr>
          <w:lang w:val="fr-FR"/>
        </w:rPr>
        <w:t>t</w:t>
      </w:r>
      <w:r>
        <w:rPr>
          <w:lang w:val="fr-FR"/>
        </w:rPr>
        <w:t>,</w:t>
      </w:r>
      <w:r w:rsidR="00730D47" w:rsidRPr="00730D47">
        <w:rPr>
          <w:lang w:val="fr-FR"/>
        </w:rPr>
        <w:t xml:space="preserve"> aux yeux de la cour d</w:t>
      </w:r>
      <w:r w:rsidR="00603708">
        <w:rPr>
          <w:lang w:val="fr-FR"/>
        </w:rPr>
        <w:t>’</w:t>
      </w:r>
      <w:r w:rsidR="00730D47" w:rsidRPr="00730D47">
        <w:rPr>
          <w:lang w:val="fr-FR"/>
        </w:rPr>
        <w:t>appel</w:t>
      </w:r>
      <w:r>
        <w:rPr>
          <w:lang w:val="fr-FR"/>
        </w:rPr>
        <w:t>,</w:t>
      </w:r>
      <w:r w:rsidR="00730D47" w:rsidRPr="00730D47">
        <w:rPr>
          <w:lang w:val="fr-FR"/>
        </w:rPr>
        <w:t xml:space="preserve"> un comportement conscient et concerté plutôt qu</w:t>
      </w:r>
      <w:r w:rsidR="00603708">
        <w:rPr>
          <w:lang w:val="fr-FR"/>
        </w:rPr>
        <w:t>’</w:t>
      </w:r>
      <w:r w:rsidR="00730D47" w:rsidRPr="00730D47">
        <w:rPr>
          <w:lang w:val="fr-FR"/>
        </w:rPr>
        <w:t>un état de stress et de fatigue.</w:t>
      </w:r>
    </w:p>
    <w:p w:rsidR="00730D47" w:rsidRPr="00730D47" w:rsidRDefault="00CA3929"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74</w:t>
      </w:r>
      <w:r>
        <w:rPr>
          <w:lang w:val="fr-FR"/>
        </w:rPr>
        <w:fldChar w:fldCharType="end"/>
      </w:r>
      <w:r>
        <w:rPr>
          <w:lang w:val="fr-FR"/>
        </w:rPr>
        <w:t>.  </w:t>
      </w:r>
      <w:r w:rsidR="00730D47" w:rsidRPr="00730D47">
        <w:rPr>
          <w:lang w:val="fr-FR"/>
        </w:rPr>
        <w:t>Cependant, tenant compte du fait que toute l</w:t>
      </w:r>
      <w:r w:rsidR="00603708">
        <w:rPr>
          <w:lang w:val="fr-FR"/>
        </w:rPr>
        <w:t>’</w:t>
      </w:r>
      <w:r w:rsidR="00730D47" w:rsidRPr="00730D47">
        <w:rPr>
          <w:lang w:val="fr-FR"/>
        </w:rPr>
        <w:t>opération en cause avait pour origine la directive du chef de la police de procéder à des arrestations et que les accusés avaient dès lors clairement agi sous cette pression psychologique, la cour d</w:t>
      </w:r>
      <w:r w:rsidR="00603708">
        <w:rPr>
          <w:lang w:val="fr-FR"/>
        </w:rPr>
        <w:t>’</w:t>
      </w:r>
      <w:r w:rsidR="00730D47" w:rsidRPr="00730D47">
        <w:rPr>
          <w:lang w:val="fr-FR"/>
        </w:rPr>
        <w:t>appel détermina les peines en prenant en compte le minimum prévu par la loi pénale pour chacun des délits en question.</w:t>
      </w:r>
    </w:p>
    <w:p w:rsidR="00730D47" w:rsidRPr="00730D47" w:rsidRDefault="00CA3929" w:rsidP="00CA3929">
      <w:pPr>
        <w:pStyle w:val="ECHRHeading4"/>
        <w:rPr>
          <w:lang w:val="fr-FR"/>
        </w:rPr>
      </w:pPr>
      <w:r>
        <w:rPr>
          <w:lang w:val="fr-FR"/>
        </w:rPr>
        <w:t>c)</w:t>
      </w:r>
      <w:r w:rsidR="00730D47" w:rsidRPr="00730D47">
        <w:rPr>
          <w:lang w:val="fr-FR"/>
        </w:rPr>
        <w:t> </w:t>
      </w:r>
      <w:r w:rsidR="00940E04">
        <w:rPr>
          <w:lang w:val="fr-FR"/>
        </w:rPr>
        <w:t> </w:t>
      </w:r>
      <w:r w:rsidR="00730D47" w:rsidRPr="00730D47">
        <w:rPr>
          <w:lang w:val="fr-FR"/>
        </w:rPr>
        <w:t>L</w:t>
      </w:r>
      <w:r w:rsidR="00603708">
        <w:rPr>
          <w:lang w:val="fr-FR"/>
        </w:rPr>
        <w:t>’</w:t>
      </w:r>
      <w:r w:rsidR="00730D47" w:rsidRPr="00730D47">
        <w:rPr>
          <w:lang w:val="fr-FR"/>
        </w:rPr>
        <w:t>arrêt de la Cour de cassation</w:t>
      </w:r>
    </w:p>
    <w:p w:rsidR="00730D47" w:rsidRPr="00730D47" w:rsidRDefault="00CA3929" w:rsidP="00730D47">
      <w:pPr>
        <w:pStyle w:val="ECHRPara"/>
        <w:rPr>
          <w:lang w:val="fr-FR"/>
        </w:rPr>
      </w:pPr>
      <w:r>
        <w:rPr>
          <w:rStyle w:val="JuHaChar"/>
          <w:b w:val="0"/>
          <w:sz w:val="23"/>
          <w:lang w:val="fr-FR"/>
        </w:rPr>
        <w:fldChar w:fldCharType="begin"/>
      </w:r>
      <w:r>
        <w:rPr>
          <w:rStyle w:val="JuHaChar"/>
          <w:b w:val="0"/>
          <w:sz w:val="23"/>
          <w:lang w:val="fr-FR"/>
        </w:rPr>
        <w:instrText xml:space="preserve"> SEQ level0 \*arabic </w:instrText>
      </w:r>
      <w:r>
        <w:rPr>
          <w:rStyle w:val="JuHaChar"/>
          <w:b w:val="0"/>
          <w:sz w:val="23"/>
          <w:lang w:val="fr-FR"/>
        </w:rPr>
        <w:fldChar w:fldCharType="separate"/>
      </w:r>
      <w:r w:rsidR="00B378F9">
        <w:rPr>
          <w:rStyle w:val="JuHaChar"/>
          <w:b w:val="0"/>
          <w:noProof/>
          <w:sz w:val="23"/>
          <w:lang w:val="fr-FR"/>
        </w:rPr>
        <w:t>75</w:t>
      </w:r>
      <w:r>
        <w:rPr>
          <w:rStyle w:val="JuHaChar"/>
          <w:b w:val="0"/>
          <w:sz w:val="23"/>
          <w:lang w:val="fr-FR"/>
        </w:rPr>
        <w:fldChar w:fldCharType="end"/>
      </w:r>
      <w:r>
        <w:rPr>
          <w:rStyle w:val="JuHaChar"/>
          <w:b w:val="0"/>
          <w:sz w:val="23"/>
          <w:lang w:val="fr-FR"/>
        </w:rPr>
        <w:t>.  </w:t>
      </w:r>
      <w:r w:rsidR="00730D47" w:rsidRPr="00730D47">
        <w:rPr>
          <w:rStyle w:val="JuHaChar"/>
          <w:b w:val="0"/>
          <w:sz w:val="23"/>
          <w:lang w:val="fr-FR"/>
        </w:rPr>
        <w:t>L</w:t>
      </w:r>
      <w:r w:rsidR="00730D47" w:rsidRPr="00730D47">
        <w:rPr>
          <w:lang w:val="fr-FR"/>
        </w:rPr>
        <w:t>es accusés, le procureur général près la cour d</w:t>
      </w:r>
      <w:r w:rsidR="00603708">
        <w:rPr>
          <w:lang w:val="fr-FR"/>
        </w:rPr>
        <w:t>’</w:t>
      </w:r>
      <w:r w:rsidR="00730D47" w:rsidRPr="00730D47">
        <w:rPr>
          <w:lang w:val="fr-FR"/>
        </w:rPr>
        <w:t>appel de Gênes, le ministère de l</w:t>
      </w:r>
      <w:r w:rsidR="00603708">
        <w:rPr>
          <w:lang w:val="fr-FR"/>
        </w:rPr>
        <w:t>’</w:t>
      </w:r>
      <w:r w:rsidR="00730D47" w:rsidRPr="00730D47">
        <w:rPr>
          <w:lang w:val="fr-FR"/>
        </w:rPr>
        <w:t>Intérieur (responsable civil) et certaines des victimes se pourvurent en cassation contre l</w:t>
      </w:r>
      <w:r w:rsidR="00603708">
        <w:rPr>
          <w:lang w:val="fr-FR"/>
        </w:rPr>
        <w:t>’</w:t>
      </w:r>
      <w:r w:rsidR="00730D47" w:rsidRPr="00730D47">
        <w:rPr>
          <w:lang w:val="fr-FR"/>
        </w:rPr>
        <w:t>arrêt d</w:t>
      </w:r>
      <w:r w:rsidR="00603708">
        <w:rPr>
          <w:lang w:val="fr-FR"/>
        </w:rPr>
        <w:t>’</w:t>
      </w:r>
      <w:r w:rsidR="00730D47" w:rsidRPr="00730D47">
        <w:rPr>
          <w:lang w:val="fr-FR"/>
        </w:rPr>
        <w:t>appel ; le requérant et d</w:t>
      </w:r>
      <w:r w:rsidR="00603708">
        <w:rPr>
          <w:lang w:val="fr-FR"/>
        </w:rPr>
        <w:t>’</w:t>
      </w:r>
      <w:r w:rsidR="00730D47" w:rsidRPr="00730D47">
        <w:rPr>
          <w:lang w:val="fr-FR"/>
        </w:rPr>
        <w:t>autres victimes se constituèrent parties dans la procédure.</w:t>
      </w:r>
    </w:p>
    <w:p w:rsidR="00730D47" w:rsidRPr="00730D47" w:rsidRDefault="00CA3929" w:rsidP="00730D47">
      <w:pPr>
        <w:pStyle w:val="ECHRPara"/>
        <w:rPr>
          <w:szCs w:val="24"/>
          <w:lang w:val="fr-FR"/>
        </w:rPr>
      </w:pPr>
      <w:r>
        <w:rPr>
          <w:rStyle w:val="JuHaChar"/>
          <w:b w:val="0"/>
          <w:sz w:val="24"/>
          <w:szCs w:val="24"/>
          <w:lang w:val="fr-FR"/>
        </w:rPr>
        <w:fldChar w:fldCharType="begin"/>
      </w:r>
      <w:r>
        <w:rPr>
          <w:rStyle w:val="JuHaChar"/>
          <w:b w:val="0"/>
          <w:sz w:val="24"/>
          <w:szCs w:val="24"/>
          <w:lang w:val="fr-FR"/>
        </w:rPr>
        <w:instrText xml:space="preserve"> SEQ level0 \*arabic </w:instrText>
      </w:r>
      <w:r>
        <w:rPr>
          <w:rStyle w:val="JuHaChar"/>
          <w:b w:val="0"/>
          <w:sz w:val="24"/>
          <w:szCs w:val="24"/>
          <w:lang w:val="fr-FR"/>
        </w:rPr>
        <w:fldChar w:fldCharType="separate"/>
      </w:r>
      <w:r w:rsidR="00B378F9">
        <w:rPr>
          <w:rStyle w:val="JuHaChar"/>
          <w:b w:val="0"/>
          <w:noProof/>
          <w:sz w:val="24"/>
          <w:szCs w:val="24"/>
          <w:lang w:val="fr-FR"/>
        </w:rPr>
        <w:t>76</w:t>
      </w:r>
      <w:r>
        <w:rPr>
          <w:rStyle w:val="JuHaChar"/>
          <w:b w:val="0"/>
          <w:sz w:val="24"/>
          <w:szCs w:val="24"/>
          <w:lang w:val="fr-FR"/>
        </w:rPr>
        <w:fldChar w:fldCharType="end"/>
      </w:r>
      <w:r>
        <w:rPr>
          <w:rStyle w:val="JuHaChar"/>
          <w:b w:val="0"/>
          <w:sz w:val="24"/>
          <w:szCs w:val="24"/>
          <w:lang w:val="fr-FR"/>
        </w:rPr>
        <w:t>.  </w:t>
      </w:r>
      <w:r w:rsidR="00730D47" w:rsidRPr="00CA3929">
        <w:rPr>
          <w:rStyle w:val="JuHaChar"/>
          <w:b w:val="0"/>
          <w:sz w:val="24"/>
          <w:szCs w:val="24"/>
          <w:lang w:val="fr-FR"/>
        </w:rPr>
        <w:t>Par l</w:t>
      </w:r>
      <w:r w:rsidR="00603708">
        <w:rPr>
          <w:rStyle w:val="JuHaChar"/>
          <w:b w:val="0"/>
          <w:sz w:val="24"/>
          <w:szCs w:val="24"/>
          <w:lang w:val="fr-FR"/>
        </w:rPr>
        <w:t>’</w:t>
      </w:r>
      <w:r w:rsidR="00730D47" w:rsidRPr="00CA3929">
        <w:rPr>
          <w:rStyle w:val="JuHaChar"/>
          <w:b w:val="0"/>
          <w:sz w:val="24"/>
          <w:szCs w:val="24"/>
          <w:lang w:val="fr-FR"/>
        </w:rPr>
        <w:t xml:space="preserve">arrêt </w:t>
      </w:r>
      <w:r w:rsidR="00730D47" w:rsidRPr="00CA3929">
        <w:rPr>
          <w:rStyle w:val="sb8d990e2"/>
          <w:szCs w:val="24"/>
          <w:lang w:val="fr-FR"/>
        </w:rPr>
        <w:t>n</w:t>
      </w:r>
      <w:r w:rsidR="00730D47" w:rsidRPr="00CA3929">
        <w:rPr>
          <w:rStyle w:val="sea881cdfhasverticalalignsuper"/>
          <w:szCs w:val="24"/>
          <w:vertAlign w:val="superscript"/>
          <w:lang w:val="fr-FR"/>
        </w:rPr>
        <w:t>o</w:t>
      </w:r>
      <w:r w:rsidR="00730D47" w:rsidRPr="00CA3929">
        <w:rPr>
          <w:rStyle w:val="JuHaChar"/>
          <w:b w:val="0"/>
          <w:sz w:val="24"/>
          <w:szCs w:val="24"/>
          <w:lang w:val="fr-FR"/>
        </w:rPr>
        <w:t xml:space="preserve"> 38085/12 du 5 juillet 2012, déposé le 2 octobre 2012, la Cour de cassation confirma pour l</w:t>
      </w:r>
      <w:r w:rsidR="00603708">
        <w:rPr>
          <w:rStyle w:val="JuHaChar"/>
          <w:b w:val="0"/>
          <w:sz w:val="24"/>
          <w:szCs w:val="24"/>
          <w:lang w:val="fr-FR"/>
        </w:rPr>
        <w:t>’</w:t>
      </w:r>
      <w:r w:rsidR="00730D47" w:rsidRPr="00CA3929">
        <w:rPr>
          <w:rStyle w:val="JuHaChar"/>
          <w:b w:val="0"/>
          <w:sz w:val="24"/>
          <w:szCs w:val="24"/>
          <w:lang w:val="fr-FR"/>
        </w:rPr>
        <w:t>essentiel l</w:t>
      </w:r>
      <w:r w:rsidR="00603708">
        <w:rPr>
          <w:rStyle w:val="JuHaChar"/>
          <w:b w:val="0"/>
          <w:sz w:val="24"/>
          <w:szCs w:val="24"/>
          <w:lang w:val="fr-FR"/>
        </w:rPr>
        <w:t>’</w:t>
      </w:r>
      <w:r w:rsidR="00730D47" w:rsidRPr="00CA3929">
        <w:rPr>
          <w:rStyle w:val="JuHaChar"/>
          <w:b w:val="0"/>
          <w:sz w:val="24"/>
          <w:szCs w:val="24"/>
          <w:lang w:val="fr-FR"/>
        </w:rPr>
        <w:t xml:space="preserve">arrêt </w:t>
      </w:r>
      <w:r w:rsidR="00730D47" w:rsidRPr="00CA3929">
        <w:rPr>
          <w:szCs w:val="24"/>
          <w:lang w:val="fr-FR"/>
        </w:rPr>
        <w:t xml:space="preserve">entrepris, déclarant </w:t>
      </w:r>
      <w:r w:rsidR="007C2D8F">
        <w:rPr>
          <w:szCs w:val="24"/>
          <w:lang w:val="fr-FR"/>
        </w:rPr>
        <w:t>toutefois</w:t>
      </w:r>
      <w:r w:rsidR="007C2D8F" w:rsidRPr="00CA3929">
        <w:rPr>
          <w:szCs w:val="24"/>
          <w:lang w:val="fr-FR"/>
        </w:rPr>
        <w:t xml:space="preserve"> </w:t>
      </w:r>
      <w:r w:rsidR="00730D47" w:rsidRPr="00CA3929">
        <w:rPr>
          <w:szCs w:val="24"/>
          <w:lang w:val="fr-FR"/>
        </w:rPr>
        <w:t>prescrit le délit de lésions aggravées pour lequel</w:t>
      </w:r>
      <w:r w:rsidR="00730D47" w:rsidRPr="00730D47">
        <w:rPr>
          <w:szCs w:val="24"/>
          <w:lang w:val="fr-FR"/>
        </w:rPr>
        <w:t xml:space="preserve"> dix accusés et neuf accusés avaient été condamnés </w:t>
      </w:r>
      <w:r w:rsidR="007C2D8F" w:rsidRPr="00730D47">
        <w:rPr>
          <w:szCs w:val="24"/>
          <w:lang w:val="fr-FR"/>
        </w:rPr>
        <w:t xml:space="preserve">respectivement </w:t>
      </w:r>
      <w:r w:rsidR="00730D47" w:rsidRPr="00730D47">
        <w:rPr>
          <w:szCs w:val="24"/>
          <w:lang w:val="fr-FR"/>
        </w:rPr>
        <w:t>en première et en deuxième instance (</w:t>
      </w:r>
      <w:r w:rsidR="00382AFD" w:rsidRPr="00AC0DAF">
        <w:rPr>
          <w:szCs w:val="24"/>
          <w:lang w:val="fr-FR"/>
        </w:rPr>
        <w:t>paragraphe 49 et 60</w:t>
      </w:r>
      <w:r w:rsidR="00730D47" w:rsidRPr="00AC0DAF">
        <w:rPr>
          <w:szCs w:val="24"/>
          <w:lang w:val="fr-FR"/>
        </w:rPr>
        <w:t xml:space="preserve"> ci-dessus</w:t>
      </w:r>
      <w:r w:rsidR="00730D47" w:rsidRPr="00730D47">
        <w:rPr>
          <w:szCs w:val="24"/>
          <w:lang w:val="fr-FR"/>
        </w:rPr>
        <w:t>).</w:t>
      </w:r>
    </w:p>
    <w:p w:rsidR="00730D47" w:rsidRPr="00CA3929" w:rsidRDefault="00CA3929" w:rsidP="00730D47">
      <w:pPr>
        <w:pStyle w:val="ECHRPara"/>
        <w:rPr>
          <w:szCs w:val="24"/>
          <w:lang w:val="fr-FR"/>
        </w:rPr>
      </w:pPr>
      <w:r>
        <w:rPr>
          <w:rStyle w:val="JuHaChar"/>
          <w:b w:val="0"/>
          <w:sz w:val="24"/>
          <w:szCs w:val="24"/>
          <w:lang w:val="fr-FR"/>
        </w:rPr>
        <w:fldChar w:fldCharType="begin"/>
      </w:r>
      <w:r>
        <w:rPr>
          <w:rStyle w:val="JuHaChar"/>
          <w:b w:val="0"/>
          <w:sz w:val="24"/>
          <w:szCs w:val="24"/>
          <w:lang w:val="fr-FR"/>
        </w:rPr>
        <w:instrText xml:space="preserve"> SEQ level0 \*arabic </w:instrText>
      </w:r>
      <w:r>
        <w:rPr>
          <w:rStyle w:val="JuHaChar"/>
          <w:b w:val="0"/>
          <w:sz w:val="24"/>
          <w:szCs w:val="24"/>
          <w:lang w:val="fr-FR"/>
        </w:rPr>
        <w:fldChar w:fldCharType="separate"/>
      </w:r>
      <w:r w:rsidR="00B378F9">
        <w:rPr>
          <w:rStyle w:val="JuHaChar"/>
          <w:b w:val="0"/>
          <w:noProof/>
          <w:sz w:val="24"/>
          <w:szCs w:val="24"/>
          <w:lang w:val="fr-FR"/>
        </w:rPr>
        <w:t>77</w:t>
      </w:r>
      <w:r>
        <w:rPr>
          <w:rStyle w:val="JuHaChar"/>
          <w:b w:val="0"/>
          <w:sz w:val="24"/>
          <w:szCs w:val="24"/>
          <w:lang w:val="fr-FR"/>
        </w:rPr>
        <w:fldChar w:fldCharType="end"/>
      </w:r>
      <w:r>
        <w:rPr>
          <w:rStyle w:val="JuHaChar"/>
          <w:b w:val="0"/>
          <w:sz w:val="24"/>
          <w:szCs w:val="24"/>
          <w:lang w:val="fr-FR"/>
        </w:rPr>
        <w:t>.  </w:t>
      </w:r>
      <w:r w:rsidR="00730D47" w:rsidRPr="00CA3929">
        <w:rPr>
          <w:rStyle w:val="JuHaChar"/>
          <w:b w:val="0"/>
          <w:sz w:val="24"/>
          <w:szCs w:val="24"/>
          <w:lang w:val="fr-FR"/>
        </w:rPr>
        <w:t>Dans les motifs de son arrêt</w:t>
      </w:r>
      <w:r w:rsidR="007C651D">
        <w:rPr>
          <w:rStyle w:val="JuHaChar"/>
          <w:b w:val="0"/>
          <w:sz w:val="24"/>
          <w:szCs w:val="24"/>
          <w:lang w:val="fr-FR"/>
        </w:rPr>
        <w:t xml:space="preserve"> (</w:t>
      </w:r>
      <w:r w:rsidR="00483D52">
        <w:rPr>
          <w:rStyle w:val="JuHaChar"/>
          <w:b w:val="0"/>
          <w:sz w:val="24"/>
          <w:szCs w:val="24"/>
          <w:lang w:val="fr-FR"/>
        </w:rPr>
        <w:t>71</w:t>
      </w:r>
      <w:r w:rsidR="007C651D">
        <w:rPr>
          <w:rStyle w:val="JuHaChar"/>
          <w:b w:val="0"/>
          <w:sz w:val="24"/>
          <w:szCs w:val="24"/>
          <w:lang w:val="fr-FR"/>
        </w:rPr>
        <w:t xml:space="preserve"> pages sur </w:t>
      </w:r>
      <w:r w:rsidR="00483D52">
        <w:rPr>
          <w:rStyle w:val="JuHaChar"/>
          <w:b w:val="0"/>
          <w:sz w:val="24"/>
          <w:szCs w:val="24"/>
          <w:lang w:val="fr-FR"/>
        </w:rPr>
        <w:t>186</w:t>
      </w:r>
      <w:r w:rsidR="007C651D">
        <w:rPr>
          <w:rStyle w:val="JuHaChar"/>
          <w:b w:val="0"/>
          <w:sz w:val="24"/>
          <w:szCs w:val="24"/>
          <w:lang w:val="fr-FR"/>
        </w:rPr>
        <w:t xml:space="preserve"> au total)</w:t>
      </w:r>
      <w:r w:rsidR="00730D47" w:rsidRPr="00CA3929">
        <w:rPr>
          <w:rStyle w:val="JuHaChar"/>
          <w:b w:val="0"/>
          <w:sz w:val="24"/>
          <w:szCs w:val="24"/>
          <w:lang w:val="fr-FR"/>
        </w:rPr>
        <w:t>, la Cour de cassation se pencha tout d</w:t>
      </w:r>
      <w:r w:rsidR="00603708">
        <w:rPr>
          <w:rStyle w:val="JuHaChar"/>
          <w:b w:val="0"/>
          <w:sz w:val="24"/>
          <w:szCs w:val="24"/>
          <w:lang w:val="fr-FR"/>
        </w:rPr>
        <w:t>’</w:t>
      </w:r>
      <w:r w:rsidR="00730D47" w:rsidRPr="00CA3929">
        <w:rPr>
          <w:rStyle w:val="JuHaChar"/>
          <w:b w:val="0"/>
          <w:sz w:val="24"/>
          <w:szCs w:val="24"/>
          <w:lang w:val="fr-FR"/>
        </w:rPr>
        <w:t>abord sur l</w:t>
      </w:r>
      <w:r w:rsidR="00603708">
        <w:rPr>
          <w:rStyle w:val="JuHaChar"/>
          <w:b w:val="0"/>
          <w:sz w:val="24"/>
          <w:szCs w:val="24"/>
          <w:lang w:val="fr-FR"/>
        </w:rPr>
        <w:t>’</w:t>
      </w:r>
      <w:r w:rsidR="00730D47" w:rsidRPr="00CA3929">
        <w:rPr>
          <w:rStyle w:val="JuHaChar"/>
          <w:b w:val="0"/>
          <w:sz w:val="24"/>
          <w:szCs w:val="24"/>
          <w:lang w:val="fr-FR"/>
        </w:rPr>
        <w:t>exception de constitutionnalité de l</w:t>
      </w:r>
      <w:r w:rsidR="00603708">
        <w:rPr>
          <w:rStyle w:val="JuHaChar"/>
          <w:b w:val="0"/>
          <w:sz w:val="24"/>
          <w:szCs w:val="24"/>
          <w:lang w:val="fr-FR"/>
        </w:rPr>
        <w:t>’</w:t>
      </w:r>
      <w:r w:rsidR="00730D47" w:rsidRPr="00CA3929">
        <w:rPr>
          <w:rStyle w:val="JuHaChar"/>
          <w:b w:val="0"/>
          <w:sz w:val="24"/>
          <w:szCs w:val="24"/>
          <w:lang w:val="fr-FR"/>
        </w:rPr>
        <w:t>article 157 du code pénal, en matière de prescription des infractions pénales, soulevée par le procureur général sur le terrain de l</w:t>
      </w:r>
      <w:r w:rsidR="00603708">
        <w:rPr>
          <w:rStyle w:val="JuHaChar"/>
          <w:b w:val="0"/>
          <w:sz w:val="24"/>
          <w:szCs w:val="24"/>
          <w:lang w:val="fr-FR"/>
        </w:rPr>
        <w:t>’</w:t>
      </w:r>
      <w:r w:rsidR="00730D47" w:rsidRPr="00CA3929">
        <w:rPr>
          <w:rStyle w:val="JuHaChar"/>
          <w:b w:val="0"/>
          <w:sz w:val="24"/>
          <w:szCs w:val="24"/>
          <w:lang w:val="fr-FR"/>
        </w:rPr>
        <w:t>article 3 de la Convention et, par ricochet, de l</w:t>
      </w:r>
      <w:r w:rsidR="00603708">
        <w:rPr>
          <w:rStyle w:val="JuHaChar"/>
          <w:b w:val="0"/>
          <w:sz w:val="24"/>
          <w:szCs w:val="24"/>
          <w:lang w:val="fr-FR"/>
        </w:rPr>
        <w:t>’</w:t>
      </w:r>
      <w:r w:rsidR="00730D47" w:rsidRPr="00CA3929">
        <w:rPr>
          <w:rStyle w:val="JuHaChar"/>
          <w:b w:val="0"/>
          <w:sz w:val="24"/>
          <w:szCs w:val="24"/>
          <w:lang w:val="fr-FR"/>
        </w:rPr>
        <w:t>article 117, premier alinéa, de la Constitution. Elle observa que – comme les décisions de première et de deuxième instance l</w:t>
      </w:r>
      <w:r w:rsidR="00603708">
        <w:rPr>
          <w:rStyle w:val="JuHaChar"/>
          <w:b w:val="0"/>
          <w:sz w:val="24"/>
          <w:szCs w:val="24"/>
          <w:lang w:val="fr-FR"/>
        </w:rPr>
        <w:t>’</w:t>
      </w:r>
      <w:r w:rsidR="00730D47" w:rsidRPr="00CA3929">
        <w:rPr>
          <w:rStyle w:val="JuHaChar"/>
          <w:b w:val="0"/>
          <w:sz w:val="24"/>
          <w:szCs w:val="24"/>
          <w:lang w:val="fr-FR"/>
        </w:rPr>
        <w:t>auraient constaté et comme, d</w:t>
      </w:r>
      <w:r w:rsidR="00603708">
        <w:rPr>
          <w:rStyle w:val="JuHaChar"/>
          <w:b w:val="0"/>
          <w:sz w:val="24"/>
          <w:szCs w:val="24"/>
          <w:lang w:val="fr-FR"/>
        </w:rPr>
        <w:t>’</w:t>
      </w:r>
      <w:r w:rsidR="00730D47" w:rsidRPr="00CA3929">
        <w:rPr>
          <w:rStyle w:val="JuHaChar"/>
          <w:b w:val="0"/>
          <w:sz w:val="24"/>
          <w:szCs w:val="24"/>
          <w:lang w:val="fr-FR"/>
        </w:rPr>
        <w:t>ailleurs, cela n</w:t>
      </w:r>
      <w:r w:rsidR="00603708">
        <w:rPr>
          <w:rStyle w:val="JuHaChar"/>
          <w:b w:val="0"/>
          <w:sz w:val="24"/>
          <w:szCs w:val="24"/>
          <w:lang w:val="fr-FR"/>
        </w:rPr>
        <w:t>’</w:t>
      </w:r>
      <w:r w:rsidR="00730D47" w:rsidRPr="00CA3929">
        <w:rPr>
          <w:rStyle w:val="JuHaChar"/>
          <w:b w:val="0"/>
          <w:sz w:val="24"/>
          <w:szCs w:val="24"/>
          <w:lang w:val="fr-FR"/>
        </w:rPr>
        <w:t xml:space="preserve">aurait jamais été contesté – « les violences perpétrées par la police au cours de </w:t>
      </w:r>
      <w:r w:rsidR="007C2D8F" w:rsidRPr="00CA3929">
        <w:rPr>
          <w:rStyle w:val="JuHaChar"/>
          <w:b w:val="0"/>
          <w:sz w:val="24"/>
          <w:szCs w:val="24"/>
          <w:lang w:val="fr-FR"/>
        </w:rPr>
        <w:t>l</w:t>
      </w:r>
      <w:r w:rsidR="007C2D8F">
        <w:rPr>
          <w:rStyle w:val="JuHaChar"/>
          <w:b w:val="0"/>
          <w:sz w:val="24"/>
          <w:szCs w:val="24"/>
          <w:lang w:val="fr-FR"/>
        </w:rPr>
        <w:t>eur</w:t>
      </w:r>
      <w:r w:rsidR="007C2D8F" w:rsidRPr="00CA3929">
        <w:rPr>
          <w:rStyle w:val="JuHaChar"/>
          <w:b w:val="0"/>
          <w:sz w:val="24"/>
          <w:szCs w:val="24"/>
          <w:lang w:val="fr-FR"/>
        </w:rPr>
        <w:t xml:space="preserve"> </w:t>
      </w:r>
      <w:r w:rsidR="007C2D8F">
        <w:rPr>
          <w:rStyle w:val="JuHaChar"/>
          <w:b w:val="0"/>
          <w:sz w:val="24"/>
          <w:szCs w:val="24"/>
          <w:lang w:val="fr-FR"/>
        </w:rPr>
        <w:t>irruption</w:t>
      </w:r>
      <w:r w:rsidR="007C2D8F" w:rsidRPr="00CA3929">
        <w:rPr>
          <w:rStyle w:val="JuHaChar"/>
          <w:b w:val="0"/>
          <w:sz w:val="24"/>
          <w:szCs w:val="24"/>
          <w:lang w:val="fr-FR"/>
        </w:rPr>
        <w:t xml:space="preserve"> </w:t>
      </w:r>
      <w:r w:rsidR="00730D47" w:rsidRPr="00CA3929">
        <w:rPr>
          <w:rStyle w:val="JuHaChar"/>
          <w:b w:val="0"/>
          <w:sz w:val="24"/>
          <w:szCs w:val="24"/>
          <w:lang w:val="fr-FR"/>
        </w:rPr>
        <w:t>dans l</w:t>
      </w:r>
      <w:r w:rsidR="00603708">
        <w:rPr>
          <w:rStyle w:val="JuHaChar"/>
          <w:b w:val="0"/>
          <w:sz w:val="24"/>
          <w:szCs w:val="24"/>
          <w:lang w:val="fr-FR"/>
        </w:rPr>
        <w:t>’</w:t>
      </w:r>
      <w:r w:rsidR="00730D47" w:rsidRPr="00CA3929">
        <w:rPr>
          <w:rStyle w:val="JuHaChar"/>
          <w:b w:val="0"/>
          <w:sz w:val="24"/>
          <w:szCs w:val="24"/>
          <w:lang w:val="fr-FR"/>
        </w:rPr>
        <w:t>école Diaz-Pertini [avaient] été d</w:t>
      </w:r>
      <w:r w:rsidR="00603708">
        <w:rPr>
          <w:rStyle w:val="JuHaChar"/>
          <w:b w:val="0"/>
          <w:sz w:val="24"/>
          <w:szCs w:val="24"/>
          <w:lang w:val="fr-FR"/>
        </w:rPr>
        <w:t>’</w:t>
      </w:r>
      <w:r w:rsidR="00730D47" w:rsidRPr="00CA3929">
        <w:rPr>
          <w:rStyle w:val="JuHaChar"/>
          <w:b w:val="0"/>
          <w:sz w:val="24"/>
          <w:szCs w:val="24"/>
          <w:lang w:val="fr-FR"/>
        </w:rPr>
        <w:t xml:space="preserve">une gravité inhabituelle ». La « gravité absolue » </w:t>
      </w:r>
      <w:r w:rsidR="007C2D8F">
        <w:rPr>
          <w:rStyle w:val="JuHaChar"/>
          <w:b w:val="0"/>
          <w:sz w:val="24"/>
          <w:szCs w:val="24"/>
          <w:lang w:val="fr-FR"/>
        </w:rPr>
        <w:t xml:space="preserve">aurait </w:t>
      </w:r>
      <w:r w:rsidR="00730D47" w:rsidRPr="00CA3929">
        <w:rPr>
          <w:rStyle w:val="JuHaChar"/>
          <w:b w:val="0"/>
          <w:sz w:val="24"/>
          <w:szCs w:val="24"/>
          <w:lang w:val="fr-FR"/>
        </w:rPr>
        <w:t>ten</w:t>
      </w:r>
      <w:r w:rsidR="007C2D8F">
        <w:rPr>
          <w:rStyle w:val="JuHaChar"/>
          <w:b w:val="0"/>
          <w:sz w:val="24"/>
          <w:szCs w:val="24"/>
          <w:lang w:val="fr-FR"/>
        </w:rPr>
        <w:t>u</w:t>
      </w:r>
      <w:r w:rsidR="00730D47" w:rsidRPr="00CA3929">
        <w:rPr>
          <w:rStyle w:val="JuHaChar"/>
          <w:b w:val="0"/>
          <w:sz w:val="24"/>
          <w:szCs w:val="24"/>
          <w:lang w:val="fr-FR"/>
        </w:rPr>
        <w:t xml:space="preserve"> à ce que ces violences généralisées, commises dans tous les locaux de l</w:t>
      </w:r>
      <w:r w:rsidR="00603708">
        <w:rPr>
          <w:rStyle w:val="JuHaChar"/>
          <w:b w:val="0"/>
          <w:sz w:val="24"/>
          <w:szCs w:val="24"/>
          <w:lang w:val="fr-FR"/>
        </w:rPr>
        <w:t>’</w:t>
      </w:r>
      <w:r w:rsidR="00730D47" w:rsidRPr="00CA3929">
        <w:rPr>
          <w:rStyle w:val="JuHaChar"/>
          <w:b w:val="0"/>
          <w:sz w:val="24"/>
          <w:szCs w:val="24"/>
          <w:lang w:val="fr-FR"/>
        </w:rPr>
        <w:t>école, s</w:t>
      </w:r>
      <w:r w:rsidR="00603708">
        <w:rPr>
          <w:rStyle w:val="JuHaChar"/>
          <w:b w:val="0"/>
          <w:sz w:val="24"/>
          <w:szCs w:val="24"/>
          <w:lang w:val="fr-FR"/>
        </w:rPr>
        <w:t>’</w:t>
      </w:r>
      <w:r w:rsidR="00730D47" w:rsidRPr="00CA3929">
        <w:rPr>
          <w:rStyle w:val="JuHaChar"/>
          <w:b w:val="0"/>
          <w:sz w:val="24"/>
          <w:szCs w:val="24"/>
          <w:lang w:val="fr-FR"/>
        </w:rPr>
        <w:t>étaient déchaînées contre des personnes à l</w:t>
      </w:r>
      <w:r w:rsidR="00603708">
        <w:rPr>
          <w:rStyle w:val="JuHaChar"/>
          <w:b w:val="0"/>
          <w:sz w:val="24"/>
          <w:szCs w:val="24"/>
          <w:lang w:val="fr-FR"/>
        </w:rPr>
        <w:t>’</w:t>
      </w:r>
      <w:r w:rsidR="00730D47" w:rsidRPr="00CA3929">
        <w:rPr>
          <w:rStyle w:val="JuHaChar"/>
          <w:b w:val="0"/>
          <w:sz w:val="24"/>
          <w:szCs w:val="24"/>
          <w:lang w:val="fr-FR"/>
        </w:rPr>
        <w:t>évidence désarmées, endormies ou assises les mains en l</w:t>
      </w:r>
      <w:r w:rsidR="00603708">
        <w:rPr>
          <w:rStyle w:val="JuHaChar"/>
          <w:b w:val="0"/>
          <w:sz w:val="24"/>
          <w:szCs w:val="24"/>
          <w:lang w:val="fr-FR"/>
        </w:rPr>
        <w:t>’</w:t>
      </w:r>
      <w:r w:rsidR="00730D47" w:rsidRPr="00CA3929">
        <w:rPr>
          <w:rStyle w:val="JuHaChar"/>
          <w:b w:val="0"/>
          <w:sz w:val="24"/>
          <w:szCs w:val="24"/>
          <w:lang w:val="fr-FR"/>
        </w:rPr>
        <w:t>air ; il s</w:t>
      </w:r>
      <w:r w:rsidR="00603708">
        <w:rPr>
          <w:rStyle w:val="JuHaChar"/>
          <w:b w:val="0"/>
          <w:sz w:val="24"/>
          <w:szCs w:val="24"/>
          <w:lang w:val="fr-FR"/>
        </w:rPr>
        <w:t>’</w:t>
      </w:r>
      <w:r w:rsidR="00730D47" w:rsidRPr="00CA3929">
        <w:rPr>
          <w:rStyle w:val="JuHaChar"/>
          <w:b w:val="0"/>
          <w:sz w:val="24"/>
          <w:szCs w:val="24"/>
          <w:lang w:val="fr-FR"/>
        </w:rPr>
        <w:t xml:space="preserve">agissait donc de « violences injustifiées et, comme </w:t>
      </w:r>
      <w:r w:rsidR="007C2D8F">
        <w:rPr>
          <w:rStyle w:val="JuHaChar"/>
          <w:b w:val="0"/>
          <w:sz w:val="24"/>
          <w:szCs w:val="24"/>
          <w:lang w:val="fr-FR"/>
        </w:rPr>
        <w:t>l</w:t>
      </w:r>
      <w:r w:rsidR="00603708">
        <w:rPr>
          <w:rStyle w:val="JuHaChar"/>
          <w:b w:val="0"/>
          <w:sz w:val="24"/>
          <w:szCs w:val="24"/>
          <w:lang w:val="fr-FR"/>
        </w:rPr>
        <w:t>’</w:t>
      </w:r>
      <w:r w:rsidR="007C2D8F">
        <w:rPr>
          <w:rStyle w:val="JuHaChar"/>
          <w:b w:val="0"/>
          <w:sz w:val="24"/>
          <w:szCs w:val="24"/>
          <w:lang w:val="fr-FR"/>
        </w:rPr>
        <w:t xml:space="preserve">aurait </w:t>
      </w:r>
      <w:r w:rsidR="00730D47" w:rsidRPr="00CA3929">
        <w:rPr>
          <w:rStyle w:val="JuHaChar"/>
          <w:b w:val="0"/>
          <w:sz w:val="24"/>
          <w:szCs w:val="24"/>
          <w:lang w:val="fr-FR"/>
        </w:rPr>
        <w:t xml:space="preserve">souligné à juste titre par le procureur général, [exercées dans] un but punitif, </w:t>
      </w:r>
      <w:r w:rsidR="00C158FB">
        <w:rPr>
          <w:rStyle w:val="JuHaChar"/>
          <w:b w:val="0"/>
          <w:sz w:val="24"/>
          <w:szCs w:val="24"/>
          <w:lang w:val="fr-FR"/>
        </w:rPr>
        <w:t xml:space="preserve">un but </w:t>
      </w:r>
      <w:r w:rsidR="00730D47" w:rsidRPr="00CA3929">
        <w:rPr>
          <w:rStyle w:val="JuHaChar"/>
          <w:b w:val="0"/>
          <w:sz w:val="24"/>
          <w:szCs w:val="24"/>
          <w:lang w:val="fr-FR"/>
        </w:rPr>
        <w:t>de représailles, visant à provoquer l</w:t>
      </w:r>
      <w:r w:rsidR="00603708">
        <w:rPr>
          <w:rStyle w:val="JuHaChar"/>
          <w:b w:val="0"/>
          <w:sz w:val="24"/>
          <w:szCs w:val="24"/>
          <w:lang w:val="fr-FR"/>
        </w:rPr>
        <w:t>’</w:t>
      </w:r>
      <w:r w:rsidR="00730D47" w:rsidRPr="00CA3929">
        <w:rPr>
          <w:rStyle w:val="JuHaChar"/>
          <w:b w:val="0"/>
          <w:sz w:val="24"/>
          <w:szCs w:val="24"/>
          <w:lang w:val="fr-FR"/>
        </w:rPr>
        <w:t>humiliation et la souffrance physique et morale des victimes ». Ces violences, d</w:t>
      </w:r>
      <w:r w:rsidR="00603708">
        <w:rPr>
          <w:rStyle w:val="JuHaChar"/>
          <w:b w:val="0"/>
          <w:sz w:val="24"/>
          <w:szCs w:val="24"/>
          <w:lang w:val="fr-FR"/>
        </w:rPr>
        <w:t>’</w:t>
      </w:r>
      <w:r w:rsidR="00730D47" w:rsidRPr="00CA3929">
        <w:rPr>
          <w:rStyle w:val="JuHaChar"/>
          <w:b w:val="0"/>
          <w:sz w:val="24"/>
          <w:szCs w:val="24"/>
          <w:lang w:val="fr-FR"/>
        </w:rPr>
        <w:t xml:space="preserve">après la Cour de cassation, pouvaient relever de la « torture » aux termes de la </w:t>
      </w:r>
      <w:r w:rsidR="00730D47" w:rsidRPr="00CA3929">
        <w:rPr>
          <w:szCs w:val="24"/>
          <w:lang w:val="fr-FR"/>
        </w:rPr>
        <w:t>Convention contre la torture et autres peines ou traitements cruels, inhumains ou dégradants ou bien des « traitements inhumains ou dégradants »</w:t>
      </w:r>
      <w:r w:rsidR="007C2D8F">
        <w:rPr>
          <w:szCs w:val="24"/>
          <w:lang w:val="fr-FR"/>
        </w:rPr>
        <w:t xml:space="preserve"> </w:t>
      </w:r>
      <w:r w:rsidR="00730D47" w:rsidRPr="00CA3929">
        <w:rPr>
          <w:szCs w:val="24"/>
          <w:lang w:val="fr-FR"/>
        </w:rPr>
        <w:t>aux termes de l</w:t>
      </w:r>
      <w:r w:rsidR="00603708">
        <w:rPr>
          <w:szCs w:val="24"/>
          <w:lang w:val="fr-FR"/>
        </w:rPr>
        <w:t>’</w:t>
      </w:r>
      <w:r w:rsidR="00730D47" w:rsidRPr="00CA3929">
        <w:rPr>
          <w:szCs w:val="24"/>
          <w:lang w:val="fr-FR"/>
        </w:rPr>
        <w:t>article 3 de la Convention.</w:t>
      </w:r>
    </w:p>
    <w:p w:rsidR="0032468C" w:rsidRDefault="00CA3929" w:rsidP="00730D47">
      <w:pPr>
        <w:pStyle w:val="ECHR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78</w:t>
      </w:r>
      <w:r>
        <w:rPr>
          <w:szCs w:val="24"/>
          <w:lang w:val="fr-FR"/>
        </w:rPr>
        <w:fldChar w:fldCharType="end"/>
      </w:r>
      <w:r>
        <w:rPr>
          <w:szCs w:val="24"/>
          <w:lang w:val="fr-FR"/>
        </w:rPr>
        <w:t>.  </w:t>
      </w:r>
      <w:r w:rsidR="00730D47" w:rsidRPr="00730D47">
        <w:rPr>
          <w:szCs w:val="24"/>
          <w:lang w:val="fr-FR"/>
        </w:rPr>
        <w:t>La Cour de cassation releva que, en l</w:t>
      </w:r>
      <w:r w:rsidR="00603708">
        <w:rPr>
          <w:szCs w:val="24"/>
          <w:lang w:val="fr-FR"/>
        </w:rPr>
        <w:t>’</w:t>
      </w:r>
      <w:r w:rsidR="00730D47" w:rsidRPr="00730D47">
        <w:rPr>
          <w:szCs w:val="24"/>
          <w:lang w:val="fr-FR"/>
        </w:rPr>
        <w:t>absence d</w:t>
      </w:r>
      <w:r w:rsidR="00603708">
        <w:rPr>
          <w:szCs w:val="24"/>
          <w:lang w:val="fr-FR"/>
        </w:rPr>
        <w:t>’</w:t>
      </w:r>
      <w:r w:rsidR="00730D47" w:rsidRPr="00730D47">
        <w:rPr>
          <w:szCs w:val="24"/>
          <w:lang w:val="fr-FR"/>
        </w:rPr>
        <w:t xml:space="preserve">une infraction pénale </w:t>
      </w:r>
      <w:r w:rsidR="00730D47" w:rsidRPr="00730D47">
        <w:rPr>
          <w:i/>
          <w:szCs w:val="24"/>
          <w:lang w:val="fr-FR"/>
        </w:rPr>
        <w:t xml:space="preserve">ad hoc </w:t>
      </w:r>
      <w:r w:rsidR="00730D47" w:rsidRPr="00730D47">
        <w:rPr>
          <w:szCs w:val="24"/>
          <w:lang w:val="fr-FR"/>
        </w:rPr>
        <w:t>dans l</w:t>
      </w:r>
      <w:r w:rsidR="00603708">
        <w:rPr>
          <w:szCs w:val="24"/>
          <w:lang w:val="fr-FR"/>
        </w:rPr>
        <w:t>’</w:t>
      </w:r>
      <w:r w:rsidR="00730D47" w:rsidRPr="00730D47">
        <w:rPr>
          <w:szCs w:val="24"/>
          <w:lang w:val="fr-FR"/>
        </w:rPr>
        <w:t xml:space="preserve">ordre juridique italien, </w:t>
      </w:r>
      <w:r w:rsidR="007C2D8F">
        <w:rPr>
          <w:szCs w:val="24"/>
          <w:lang w:val="fr-FR"/>
        </w:rPr>
        <w:t>les violences en cause</w:t>
      </w:r>
      <w:r w:rsidR="007C2D8F" w:rsidRPr="00730D47">
        <w:rPr>
          <w:szCs w:val="24"/>
          <w:lang w:val="fr-FR"/>
        </w:rPr>
        <w:t xml:space="preserve"> </w:t>
      </w:r>
      <w:r w:rsidR="00730D47" w:rsidRPr="00730D47">
        <w:rPr>
          <w:szCs w:val="24"/>
          <w:lang w:val="fr-FR"/>
        </w:rPr>
        <w:t>avaient été poursuivies au titre des délits de lésions corporelles simples ou aggravées, lesquels, en application de l</w:t>
      </w:r>
      <w:r w:rsidR="00603708">
        <w:rPr>
          <w:szCs w:val="24"/>
          <w:lang w:val="fr-FR"/>
        </w:rPr>
        <w:t>’</w:t>
      </w:r>
      <w:r w:rsidR="00730D47" w:rsidRPr="00730D47">
        <w:rPr>
          <w:szCs w:val="24"/>
          <w:lang w:val="fr-FR"/>
        </w:rPr>
        <w:t>article 157 du code pénal, avaient fait l</w:t>
      </w:r>
      <w:r w:rsidR="00603708">
        <w:rPr>
          <w:szCs w:val="24"/>
          <w:lang w:val="fr-FR"/>
        </w:rPr>
        <w:t>’</w:t>
      </w:r>
      <w:r w:rsidR="00730D47" w:rsidRPr="00730D47">
        <w:rPr>
          <w:szCs w:val="24"/>
          <w:lang w:val="fr-FR"/>
        </w:rPr>
        <w:t>objet d</w:t>
      </w:r>
      <w:r w:rsidR="00603708">
        <w:rPr>
          <w:szCs w:val="24"/>
          <w:lang w:val="fr-FR"/>
        </w:rPr>
        <w:t>’</w:t>
      </w:r>
      <w:r w:rsidR="00730D47" w:rsidRPr="00730D47">
        <w:rPr>
          <w:szCs w:val="24"/>
          <w:lang w:val="fr-FR"/>
        </w:rPr>
        <w:t>un non-lieu pour cause de prescription au cours de la procédure. Elle nota que c</w:t>
      </w:r>
      <w:r w:rsidR="00603708">
        <w:rPr>
          <w:szCs w:val="24"/>
          <w:lang w:val="fr-FR"/>
        </w:rPr>
        <w:t>’</w:t>
      </w:r>
      <w:r w:rsidR="00730D47" w:rsidRPr="00730D47">
        <w:rPr>
          <w:szCs w:val="24"/>
          <w:lang w:val="fr-FR"/>
        </w:rPr>
        <w:t>était la raison pour laquelle le procureur général avait dénoncé la contradiction entre la réglementation de la prescription des infractions pénales prévue par l</w:t>
      </w:r>
      <w:r w:rsidR="00603708">
        <w:rPr>
          <w:szCs w:val="24"/>
          <w:lang w:val="fr-FR"/>
        </w:rPr>
        <w:t>’</w:t>
      </w:r>
      <w:r w:rsidR="00730D47" w:rsidRPr="00730D47">
        <w:rPr>
          <w:szCs w:val="24"/>
          <w:lang w:val="fr-FR"/>
        </w:rPr>
        <w:t>article 157 du code pénal – dans la mesure où cette disposition ne compterait pas les mauvais traitements aux termes de l</w:t>
      </w:r>
      <w:r w:rsidR="00603708">
        <w:rPr>
          <w:szCs w:val="24"/>
          <w:lang w:val="fr-FR"/>
        </w:rPr>
        <w:t>’</w:t>
      </w:r>
      <w:r w:rsidR="00730D47" w:rsidRPr="00730D47">
        <w:rPr>
          <w:szCs w:val="24"/>
          <w:lang w:val="fr-FR"/>
        </w:rPr>
        <w:t>article 3 de la Convention parmi les délits imprescriptibles – et l</w:t>
      </w:r>
      <w:r w:rsidR="00603708">
        <w:rPr>
          <w:szCs w:val="24"/>
          <w:lang w:val="fr-FR"/>
        </w:rPr>
        <w:t>’</w:t>
      </w:r>
      <w:r w:rsidR="00730D47" w:rsidRPr="00730D47">
        <w:rPr>
          <w:szCs w:val="24"/>
          <w:lang w:val="fr-FR"/>
        </w:rPr>
        <w:t>article 3 de la Convention qui, selon une jurisprudence bien établie de la Cour, entraînerait l</w:t>
      </w:r>
      <w:r w:rsidR="00603708">
        <w:rPr>
          <w:szCs w:val="24"/>
          <w:lang w:val="fr-FR"/>
        </w:rPr>
        <w:t>’</w:t>
      </w:r>
      <w:r w:rsidR="00730D47" w:rsidRPr="00730D47">
        <w:rPr>
          <w:szCs w:val="24"/>
          <w:lang w:val="fr-FR"/>
        </w:rPr>
        <w:t>obligation de sanctionner de façon adéquate les mauvais traitements et ferait dès lors obstacle à la prescription des délits ou de l</w:t>
      </w:r>
      <w:r w:rsidR="00603708">
        <w:rPr>
          <w:szCs w:val="24"/>
          <w:lang w:val="fr-FR"/>
        </w:rPr>
        <w:t>’</w:t>
      </w:r>
      <w:r w:rsidR="00730D47" w:rsidRPr="00730D47">
        <w:rPr>
          <w:szCs w:val="24"/>
          <w:lang w:val="fr-FR"/>
        </w:rPr>
        <w:t>action pénale en la matière.</w:t>
      </w:r>
    </w:p>
    <w:p w:rsidR="00730D47" w:rsidRPr="00730D47" w:rsidRDefault="00730D47" w:rsidP="00730D47">
      <w:pPr>
        <w:pStyle w:val="ECHRPara"/>
        <w:rPr>
          <w:szCs w:val="24"/>
          <w:lang w:val="fr-FR"/>
        </w:rPr>
      </w:pPr>
      <w:r w:rsidRPr="00730D47">
        <w:rPr>
          <w:szCs w:val="24"/>
          <w:lang w:val="fr-FR"/>
        </w:rPr>
        <w:t>La Cour de cassation estima, cependant, qu</w:t>
      </w:r>
      <w:r w:rsidR="00603708">
        <w:rPr>
          <w:szCs w:val="24"/>
          <w:lang w:val="fr-FR"/>
        </w:rPr>
        <w:t>’</w:t>
      </w:r>
      <w:r w:rsidRPr="00730D47">
        <w:rPr>
          <w:szCs w:val="24"/>
          <w:lang w:val="fr-FR"/>
        </w:rPr>
        <w:t>un changement des règles de la prescription, tel qu</w:t>
      </w:r>
      <w:r w:rsidR="00603708">
        <w:rPr>
          <w:szCs w:val="24"/>
          <w:lang w:val="fr-FR"/>
        </w:rPr>
        <w:t>’</w:t>
      </w:r>
      <w:r w:rsidRPr="00730D47">
        <w:rPr>
          <w:szCs w:val="24"/>
          <w:lang w:val="fr-FR"/>
        </w:rPr>
        <w:t xml:space="preserve">envisagé par le procureur général, échappait aux pouvoirs de la Cour constitutionnelle, </w:t>
      </w:r>
      <w:r w:rsidR="007C2D8F">
        <w:rPr>
          <w:szCs w:val="24"/>
          <w:lang w:val="fr-FR"/>
        </w:rPr>
        <w:t>au motif que</w:t>
      </w:r>
      <w:r w:rsidRPr="00730D47">
        <w:rPr>
          <w:szCs w:val="24"/>
          <w:lang w:val="fr-FR"/>
        </w:rPr>
        <w:t>, selon l</w:t>
      </w:r>
      <w:r w:rsidR="00603708">
        <w:rPr>
          <w:szCs w:val="24"/>
          <w:lang w:val="fr-FR"/>
        </w:rPr>
        <w:t>’</w:t>
      </w:r>
      <w:r w:rsidRPr="00730D47">
        <w:rPr>
          <w:szCs w:val="24"/>
          <w:lang w:val="fr-FR"/>
        </w:rPr>
        <w:t>article 25 de la Constitution italienne, seule la loi pouvait établir les infractions et les sanctions pénales.</w:t>
      </w:r>
    </w:p>
    <w:p w:rsidR="0032468C" w:rsidRDefault="0070376C" w:rsidP="00730D47">
      <w:pPr>
        <w:pStyle w:val="ECHRPara"/>
        <w:rPr>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79</w:t>
      </w:r>
      <w:r>
        <w:rPr>
          <w:szCs w:val="24"/>
          <w:lang w:val="fr-FR"/>
        </w:rPr>
        <w:fldChar w:fldCharType="end"/>
      </w:r>
      <w:r>
        <w:rPr>
          <w:szCs w:val="24"/>
          <w:lang w:val="fr-FR"/>
        </w:rPr>
        <w:t>.  </w:t>
      </w:r>
      <w:r w:rsidR="00730D47" w:rsidRPr="00730D47">
        <w:rPr>
          <w:szCs w:val="24"/>
          <w:lang w:val="fr-FR"/>
        </w:rPr>
        <w:t>S</w:t>
      </w:r>
      <w:r w:rsidR="00603708">
        <w:rPr>
          <w:szCs w:val="24"/>
          <w:lang w:val="fr-FR"/>
        </w:rPr>
        <w:t>’</w:t>
      </w:r>
      <w:r w:rsidR="00730D47" w:rsidRPr="00730D47">
        <w:rPr>
          <w:szCs w:val="24"/>
          <w:lang w:val="fr-FR"/>
        </w:rPr>
        <w:t xml:space="preserve">agissant des condamnations pour délits de lésions corporelles, la Cour de cassation, après avoir rappelé les faits ayant précédé </w:t>
      </w:r>
      <w:r w:rsidR="007C2D8F">
        <w:rPr>
          <w:szCs w:val="24"/>
          <w:lang w:val="fr-FR"/>
        </w:rPr>
        <w:t>l</w:t>
      </w:r>
      <w:r w:rsidR="00603708">
        <w:rPr>
          <w:szCs w:val="24"/>
          <w:lang w:val="fr-FR"/>
        </w:rPr>
        <w:t>’</w:t>
      </w:r>
      <w:r w:rsidR="007C2D8F">
        <w:rPr>
          <w:szCs w:val="24"/>
          <w:lang w:val="fr-FR"/>
        </w:rPr>
        <w:t>irruption litigieuse</w:t>
      </w:r>
      <w:r w:rsidR="00730D47" w:rsidRPr="00730D47">
        <w:rPr>
          <w:szCs w:val="24"/>
          <w:lang w:val="fr-FR"/>
        </w:rPr>
        <w:t xml:space="preserve"> de la police (</w:t>
      </w:r>
      <w:r w:rsidR="00730D47" w:rsidRPr="00AC0DAF">
        <w:rPr>
          <w:szCs w:val="24"/>
          <w:lang w:val="fr-FR"/>
        </w:rPr>
        <w:t xml:space="preserve">paragraphes </w:t>
      </w:r>
      <w:r w:rsidR="006A1568" w:rsidRPr="00AC0DAF">
        <w:rPr>
          <w:szCs w:val="24"/>
          <w:lang w:val="fr-FR"/>
        </w:rPr>
        <w:t>25-30</w:t>
      </w:r>
      <w:r w:rsidR="00730D47" w:rsidRPr="00AC0DAF">
        <w:rPr>
          <w:szCs w:val="24"/>
          <w:lang w:val="fr-FR"/>
        </w:rPr>
        <w:t xml:space="preserve"> ci-dessus</w:t>
      </w:r>
      <w:r w:rsidR="00730D47" w:rsidRPr="00730D47">
        <w:rPr>
          <w:szCs w:val="24"/>
          <w:lang w:val="fr-FR"/>
        </w:rPr>
        <w:t>), estima logique la constatation de la cour d</w:t>
      </w:r>
      <w:r w:rsidR="00603708">
        <w:rPr>
          <w:szCs w:val="24"/>
          <w:lang w:val="fr-FR"/>
        </w:rPr>
        <w:t>’</w:t>
      </w:r>
      <w:r w:rsidR="00730D47" w:rsidRPr="00730D47">
        <w:rPr>
          <w:szCs w:val="24"/>
          <w:lang w:val="fr-FR"/>
        </w:rPr>
        <w:t>appel selon laquelle la directive du chef de la police de procéder à des arrestations aurait entraîné, dès l</w:t>
      </w:r>
      <w:r w:rsidR="00603708">
        <w:rPr>
          <w:szCs w:val="24"/>
          <w:lang w:val="fr-FR"/>
        </w:rPr>
        <w:t>’</w:t>
      </w:r>
      <w:r w:rsidR="00730D47" w:rsidRPr="00730D47">
        <w:rPr>
          <w:szCs w:val="24"/>
          <w:lang w:val="fr-FR"/>
        </w:rPr>
        <w:t>origine, la « militarisation » de</w:t>
      </w:r>
      <w:r w:rsidR="00730D47" w:rsidRPr="00730D47">
        <w:rPr>
          <w:lang w:val="fr-FR"/>
        </w:rPr>
        <w:t xml:space="preserve"> l</w:t>
      </w:r>
      <w:r w:rsidR="00603708">
        <w:rPr>
          <w:lang w:val="fr-FR"/>
        </w:rPr>
        <w:t>’</w:t>
      </w:r>
      <w:r w:rsidR="00730D47" w:rsidRPr="00730D47">
        <w:rPr>
          <w:lang w:val="fr-FR"/>
        </w:rPr>
        <w:t>opération de perquisition que la police était censée réaliser dans l</w:t>
      </w:r>
      <w:r w:rsidR="00603708">
        <w:rPr>
          <w:lang w:val="fr-FR"/>
        </w:rPr>
        <w:t>’</w:t>
      </w:r>
      <w:r w:rsidR="00730D47" w:rsidRPr="00730D47">
        <w:rPr>
          <w:lang w:val="fr-FR"/>
        </w:rPr>
        <w:t>école. Pour la Cour de cassation, le nombre très élevé d</w:t>
      </w:r>
      <w:r w:rsidR="00603708">
        <w:rPr>
          <w:lang w:val="fr-FR"/>
        </w:rPr>
        <w:t>’</w:t>
      </w:r>
      <w:r w:rsidR="00730D47" w:rsidRPr="00730D47">
        <w:rPr>
          <w:lang w:val="fr-FR"/>
        </w:rPr>
        <w:t>agents, le défaut d</w:t>
      </w:r>
      <w:r w:rsidR="00603708">
        <w:rPr>
          <w:lang w:val="fr-FR"/>
        </w:rPr>
        <w:t>’</w:t>
      </w:r>
      <w:r w:rsidR="00730D47" w:rsidRPr="00730D47">
        <w:rPr>
          <w:lang w:val="fr-FR"/>
        </w:rPr>
        <w:t xml:space="preserve">instructions </w:t>
      </w:r>
      <w:r w:rsidR="00DF5502">
        <w:rPr>
          <w:lang w:val="fr-FR"/>
        </w:rPr>
        <w:t>quant aux</w:t>
      </w:r>
      <w:r w:rsidR="00730D47" w:rsidRPr="00730D47">
        <w:rPr>
          <w:lang w:val="fr-FR"/>
        </w:rPr>
        <w:t xml:space="preserve"> alternatives à un assaut au gaz lacrymogène contre l</w:t>
      </w:r>
      <w:r w:rsidR="00603708">
        <w:rPr>
          <w:lang w:val="fr-FR"/>
        </w:rPr>
        <w:t>’</w:t>
      </w:r>
      <w:r w:rsidR="00730D47" w:rsidRPr="00730D47">
        <w:rPr>
          <w:lang w:val="fr-FR"/>
        </w:rPr>
        <w:t>école (</w:t>
      </w:r>
      <w:r w:rsidR="006A1568" w:rsidRPr="00AC0DAF">
        <w:rPr>
          <w:lang w:val="fr-FR"/>
        </w:rPr>
        <w:t>paragraphe 29</w:t>
      </w:r>
      <w:r w:rsidR="00730D47" w:rsidRPr="00AC0DAF">
        <w:rPr>
          <w:lang w:val="fr-FR"/>
        </w:rPr>
        <w:t xml:space="preserve"> ci-dessus</w:t>
      </w:r>
      <w:r w:rsidR="00730D47" w:rsidRPr="00730D47">
        <w:rPr>
          <w:lang w:val="fr-FR"/>
        </w:rPr>
        <w:t>) et l</w:t>
      </w:r>
      <w:r w:rsidR="00603708">
        <w:rPr>
          <w:lang w:val="fr-FR"/>
        </w:rPr>
        <w:t>’</w:t>
      </w:r>
      <w:r w:rsidR="00730D47" w:rsidRPr="00730D47">
        <w:rPr>
          <w:lang w:val="fr-FR"/>
        </w:rPr>
        <w:t xml:space="preserve">absence de toute directive </w:t>
      </w:r>
      <w:r w:rsidR="00DF5502">
        <w:rPr>
          <w:lang w:val="fr-FR"/>
        </w:rPr>
        <w:t>concernant</w:t>
      </w:r>
      <w:r w:rsidR="00730D47" w:rsidRPr="00730D47">
        <w:rPr>
          <w:lang w:val="fr-FR"/>
        </w:rPr>
        <w:t xml:space="preserve"> l</w:t>
      </w:r>
      <w:r w:rsidR="00603708">
        <w:rPr>
          <w:lang w:val="fr-FR"/>
        </w:rPr>
        <w:t>’</w:t>
      </w:r>
      <w:r w:rsidR="00730D47" w:rsidRPr="00730D47">
        <w:rPr>
          <w:lang w:val="fr-FR"/>
        </w:rPr>
        <w:t>utilisation de la force contre les occupants montraient, parmi d</w:t>
      </w:r>
      <w:r w:rsidR="00603708">
        <w:rPr>
          <w:lang w:val="fr-FR"/>
        </w:rPr>
        <w:t>’</w:t>
      </w:r>
      <w:r w:rsidR="00730D47" w:rsidRPr="00730D47">
        <w:rPr>
          <w:lang w:val="fr-FR"/>
        </w:rPr>
        <w:t>autres éléments, que cette opération n</w:t>
      </w:r>
      <w:r w:rsidR="00603708">
        <w:rPr>
          <w:lang w:val="fr-FR"/>
        </w:rPr>
        <w:t>’</w:t>
      </w:r>
      <w:r w:rsidR="00730D47" w:rsidRPr="00730D47">
        <w:rPr>
          <w:lang w:val="fr-FR"/>
        </w:rPr>
        <w:t xml:space="preserve">avait pas été conçue comme </w:t>
      </w:r>
      <w:r w:rsidR="00730D47" w:rsidRPr="008C103E">
        <w:rPr>
          <w:lang w:val="fr-FR"/>
        </w:rPr>
        <w:t>une perquisition inoffensive. Ces modalités opérationnelles auraient entraîné</w:t>
      </w:r>
      <w:r w:rsidR="00730D47" w:rsidRPr="00730D47">
        <w:rPr>
          <w:lang w:val="fr-FR"/>
        </w:rPr>
        <w:t xml:space="preserve"> le passage à tabac de presque tous les occupants de l</w:t>
      </w:r>
      <w:r w:rsidR="00603708">
        <w:rPr>
          <w:lang w:val="fr-FR"/>
        </w:rPr>
        <w:t>’</w:t>
      </w:r>
      <w:r w:rsidR="00730D47" w:rsidRPr="00730D47">
        <w:rPr>
          <w:lang w:val="fr-FR"/>
        </w:rPr>
        <w:t>école, d</w:t>
      </w:r>
      <w:r w:rsidR="00603708">
        <w:rPr>
          <w:lang w:val="fr-FR"/>
        </w:rPr>
        <w:t>’</w:t>
      </w:r>
      <w:r w:rsidR="00730D47" w:rsidRPr="00730D47">
        <w:rPr>
          <w:lang w:val="fr-FR"/>
        </w:rPr>
        <w:t>où la confirmation</w:t>
      </w:r>
      <w:r w:rsidR="00B86AEF">
        <w:rPr>
          <w:lang w:val="fr-FR"/>
        </w:rPr>
        <w:t xml:space="preserve"> de la responsabilité</w:t>
      </w:r>
      <w:r w:rsidR="00730D47" w:rsidRPr="00730D47">
        <w:rPr>
          <w:lang w:val="fr-FR"/>
        </w:rPr>
        <w:t xml:space="preserve">, entre autres, des fonctionnaires à la tête du </w:t>
      </w:r>
      <w:r w:rsidR="00730D47" w:rsidRPr="00730D47">
        <w:rPr>
          <w:i/>
          <w:lang w:val="fr-FR"/>
        </w:rPr>
        <w:t>VII Nucleo antisommossa</w:t>
      </w:r>
      <w:r w:rsidR="00730D47" w:rsidRPr="00730D47">
        <w:rPr>
          <w:lang w:val="fr-FR"/>
        </w:rPr>
        <w:t>. D</w:t>
      </w:r>
      <w:r w:rsidR="00603708">
        <w:rPr>
          <w:lang w:val="fr-FR"/>
        </w:rPr>
        <w:t>’</w:t>
      </w:r>
      <w:r w:rsidR="00730D47" w:rsidRPr="00730D47">
        <w:rPr>
          <w:lang w:val="fr-FR"/>
        </w:rPr>
        <w:t>abord, ceux-ci n</w:t>
      </w:r>
      <w:r w:rsidR="00603708">
        <w:rPr>
          <w:lang w:val="fr-FR"/>
        </w:rPr>
        <w:t>’</w:t>
      </w:r>
      <w:r w:rsidR="00730D47" w:rsidRPr="00730D47">
        <w:rPr>
          <w:lang w:val="fr-FR"/>
        </w:rPr>
        <w:t>auraient fourni aucune indication sur la manière de « sécuriser »</w:t>
      </w:r>
      <w:r>
        <w:rPr>
          <w:lang w:val="fr-FR"/>
        </w:rPr>
        <w:t xml:space="preserve"> </w:t>
      </w:r>
      <w:r w:rsidR="00730D47" w:rsidRPr="00730D47">
        <w:rPr>
          <w:lang w:val="fr-FR"/>
        </w:rPr>
        <w:t>le bâtiment et n</w:t>
      </w:r>
      <w:r w:rsidR="00603708">
        <w:rPr>
          <w:lang w:val="fr-FR"/>
        </w:rPr>
        <w:t>’</w:t>
      </w:r>
      <w:r w:rsidR="00730D47" w:rsidRPr="00730D47">
        <w:rPr>
          <w:lang w:val="fr-FR"/>
        </w:rPr>
        <w:t>auraient jamais informé les agents de la possible présence de personnes inoffensives ; en</w:t>
      </w:r>
      <w:r w:rsidR="00E172E0">
        <w:rPr>
          <w:lang w:val="fr-FR"/>
        </w:rPr>
        <w:t> </w:t>
      </w:r>
      <w:r w:rsidR="00730D47" w:rsidRPr="00730D47">
        <w:rPr>
          <w:lang w:val="fr-FR"/>
        </w:rPr>
        <w:t>outre, ils n</w:t>
      </w:r>
      <w:r w:rsidR="00603708">
        <w:rPr>
          <w:lang w:val="fr-FR"/>
        </w:rPr>
        <w:t>’</w:t>
      </w:r>
      <w:r w:rsidR="00730D47" w:rsidRPr="00730D47">
        <w:rPr>
          <w:lang w:val="fr-FR"/>
        </w:rPr>
        <w:t>auraient pas empêché l</w:t>
      </w:r>
      <w:r w:rsidR="00603708">
        <w:rPr>
          <w:lang w:val="fr-FR"/>
        </w:rPr>
        <w:t>’</w:t>
      </w:r>
      <w:r w:rsidR="00730D47" w:rsidRPr="00730D47">
        <w:rPr>
          <w:lang w:val="fr-FR"/>
        </w:rPr>
        <w:t>agression contre des personnes qui se trouvaient à l</w:t>
      </w:r>
      <w:r w:rsidR="00603708">
        <w:rPr>
          <w:lang w:val="fr-FR"/>
        </w:rPr>
        <w:t>’</w:t>
      </w:r>
      <w:r w:rsidR="00730D47" w:rsidRPr="00730D47">
        <w:rPr>
          <w:lang w:val="fr-FR"/>
        </w:rPr>
        <w:t>extérieur du bâtiment, l</w:t>
      </w:r>
      <w:r w:rsidR="00603708">
        <w:rPr>
          <w:lang w:val="fr-FR"/>
        </w:rPr>
        <w:t>’</w:t>
      </w:r>
      <w:r w:rsidR="00730D47" w:rsidRPr="00730D47">
        <w:rPr>
          <w:lang w:val="fr-FR"/>
        </w:rPr>
        <w:t>irruption violente dans l</w:t>
      </w:r>
      <w:r w:rsidR="00603708">
        <w:rPr>
          <w:lang w:val="fr-FR"/>
        </w:rPr>
        <w:t>’</w:t>
      </w:r>
      <w:r w:rsidR="00730D47" w:rsidRPr="00730D47">
        <w:rPr>
          <w:lang w:val="fr-FR"/>
        </w:rPr>
        <w:t>école et l</w:t>
      </w:r>
      <w:r w:rsidR="00603708">
        <w:rPr>
          <w:lang w:val="fr-FR"/>
        </w:rPr>
        <w:t>’</w:t>
      </w:r>
      <w:r w:rsidR="00730D47" w:rsidRPr="00730D47">
        <w:rPr>
          <w:lang w:val="fr-FR"/>
        </w:rPr>
        <w:t>assaut contre les occupants</w:t>
      </w:r>
      <w:r w:rsidR="001F2E03">
        <w:rPr>
          <w:lang w:val="fr-FR"/>
        </w:rPr>
        <w:t xml:space="preserve"> du lieu</w:t>
      </w:r>
      <w:r w:rsidR="00730D47" w:rsidRPr="00730D47">
        <w:rPr>
          <w:lang w:val="fr-FR"/>
        </w:rPr>
        <w:t>. En conclusion, comme la cour d</w:t>
      </w:r>
      <w:r w:rsidR="00603708">
        <w:rPr>
          <w:lang w:val="fr-FR"/>
        </w:rPr>
        <w:t>’</w:t>
      </w:r>
      <w:r w:rsidR="00730D47" w:rsidRPr="00730D47">
        <w:rPr>
          <w:lang w:val="fr-FR"/>
        </w:rPr>
        <w:t>appel l</w:t>
      </w:r>
      <w:r w:rsidR="00603708">
        <w:rPr>
          <w:lang w:val="fr-FR"/>
        </w:rPr>
        <w:t>’</w:t>
      </w:r>
      <w:r w:rsidR="00730D47" w:rsidRPr="00730D47">
        <w:rPr>
          <w:lang w:val="fr-FR"/>
        </w:rPr>
        <w:t>aurait jugé</w:t>
      </w:r>
      <w:r w:rsidR="001F2E03">
        <w:rPr>
          <w:lang w:val="fr-FR"/>
        </w:rPr>
        <w:t xml:space="preserve"> </w:t>
      </w:r>
      <w:r w:rsidR="001F2E03" w:rsidRPr="00730D47">
        <w:rPr>
          <w:lang w:val="fr-FR"/>
        </w:rPr>
        <w:t>à raison</w:t>
      </w:r>
      <w:r w:rsidR="00730D47" w:rsidRPr="00730D47">
        <w:rPr>
          <w:lang w:val="fr-FR"/>
        </w:rPr>
        <w:t xml:space="preserve">, ces fonctionnaires auraient été conscients que la violence était </w:t>
      </w:r>
      <w:r w:rsidR="003F7C69">
        <w:rPr>
          <w:lang w:val="fr-FR"/>
        </w:rPr>
        <w:t>concomitante</w:t>
      </w:r>
      <w:r w:rsidR="00730D47" w:rsidRPr="00730D47">
        <w:rPr>
          <w:lang w:val="fr-FR"/>
        </w:rPr>
        <w:t xml:space="preserve"> </w:t>
      </w:r>
      <w:r w:rsidR="003F7C69">
        <w:rPr>
          <w:lang w:val="fr-FR"/>
        </w:rPr>
        <w:t>de ce type</w:t>
      </w:r>
      <w:r w:rsidR="00730D47" w:rsidRPr="00730D47">
        <w:rPr>
          <w:lang w:val="fr-FR"/>
        </w:rPr>
        <w:t xml:space="preserve"> </w:t>
      </w:r>
      <w:r w:rsidR="003F7C69">
        <w:rPr>
          <w:lang w:val="fr-FR"/>
        </w:rPr>
        <w:t>d</w:t>
      </w:r>
      <w:r w:rsidR="00603708">
        <w:rPr>
          <w:lang w:val="fr-FR"/>
        </w:rPr>
        <w:t>’</w:t>
      </w:r>
      <w:r w:rsidR="00730D47" w:rsidRPr="00730D47">
        <w:rPr>
          <w:lang w:val="fr-FR"/>
        </w:rPr>
        <w:t>opération.</w:t>
      </w:r>
    </w:p>
    <w:p w:rsidR="00730D47" w:rsidRPr="00730D47" w:rsidRDefault="00730D47" w:rsidP="00730D47">
      <w:pPr>
        <w:pStyle w:val="ECHRPara"/>
        <w:rPr>
          <w:lang w:val="fr-FR"/>
        </w:rPr>
      </w:pPr>
      <w:r w:rsidRPr="00730D47">
        <w:rPr>
          <w:lang w:val="fr-FR"/>
        </w:rPr>
        <w:t xml:space="preserve">La Cour de cassation nota que, cependant, même les délits de lésions corporelles aggravées avaient été prescrits le 3 août 2010 par le jeu des délais, des critères de calcul et des interruptions procédurales prévues par les articles 157 et suivants du code pénal, tels que modifiés par la loi </w:t>
      </w:r>
      <w:r w:rsidRPr="00730D47">
        <w:rPr>
          <w:rStyle w:val="sb8d990e2"/>
          <w:lang w:val="fr-FR"/>
        </w:rPr>
        <w:t>n</w:t>
      </w:r>
      <w:r w:rsidRPr="00730D47">
        <w:rPr>
          <w:rStyle w:val="sea881cdfhasverticalalignsuper"/>
          <w:vertAlign w:val="superscript"/>
          <w:lang w:val="fr-FR"/>
        </w:rPr>
        <w:t>o</w:t>
      </w:r>
      <w:r w:rsidRPr="00730D47">
        <w:rPr>
          <w:rStyle w:val="sb8d990e2"/>
          <w:lang w:val="fr-FR"/>
        </w:rPr>
        <w:t xml:space="preserve"> 251 du 5 décembre 2005</w:t>
      </w:r>
      <w:r w:rsidRPr="00730D47">
        <w:rPr>
          <w:lang w:val="fr-FR"/>
        </w:rPr>
        <w:t>.</w:t>
      </w:r>
    </w:p>
    <w:p w:rsidR="00730D47" w:rsidRPr="00730D47" w:rsidRDefault="0070376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80</w:t>
      </w:r>
      <w:r>
        <w:rPr>
          <w:lang w:val="fr-FR"/>
        </w:rPr>
        <w:fldChar w:fldCharType="end"/>
      </w:r>
      <w:r>
        <w:rPr>
          <w:lang w:val="fr-FR"/>
        </w:rPr>
        <w:t>.  </w:t>
      </w:r>
      <w:r w:rsidR="00730D47" w:rsidRPr="00730D47">
        <w:rPr>
          <w:lang w:val="fr-FR"/>
        </w:rPr>
        <w:t>La Cour de cassation confirma, en outre, les conclusions de l</w:t>
      </w:r>
      <w:r w:rsidR="00603708">
        <w:rPr>
          <w:lang w:val="fr-FR"/>
        </w:rPr>
        <w:t>’</w:t>
      </w:r>
      <w:r w:rsidR="00730D47" w:rsidRPr="00730D47">
        <w:rPr>
          <w:lang w:val="fr-FR"/>
        </w:rPr>
        <w:t>arrêt d</w:t>
      </w:r>
      <w:r w:rsidR="00603708">
        <w:rPr>
          <w:lang w:val="fr-FR"/>
        </w:rPr>
        <w:t>’</w:t>
      </w:r>
      <w:r w:rsidR="00730D47" w:rsidRPr="00730D47">
        <w:rPr>
          <w:lang w:val="fr-FR"/>
        </w:rPr>
        <w:t>appel quant aux délits de faux, de calomnie et de port abusif d</w:t>
      </w:r>
      <w:r w:rsidR="00603708">
        <w:rPr>
          <w:lang w:val="fr-FR"/>
        </w:rPr>
        <w:t>’</w:t>
      </w:r>
      <w:r w:rsidR="00730D47" w:rsidRPr="00730D47">
        <w:rPr>
          <w:lang w:val="fr-FR"/>
        </w:rPr>
        <w:t>armes de guerre commis, dans le cadre d</w:t>
      </w:r>
      <w:r w:rsidR="00603708">
        <w:rPr>
          <w:lang w:val="fr-FR"/>
        </w:rPr>
        <w:t>’</w:t>
      </w:r>
      <w:r w:rsidR="00730D47" w:rsidRPr="00730D47">
        <w:rPr>
          <w:lang w:val="fr-FR"/>
        </w:rPr>
        <w:t xml:space="preserve">une « opération scélérate de mystification », pour justifier </w:t>
      </w:r>
      <w:r w:rsidR="00730D47" w:rsidRPr="00730D47">
        <w:rPr>
          <w:i/>
          <w:lang w:val="fr-FR"/>
        </w:rPr>
        <w:t xml:space="preserve">a posteriori </w:t>
      </w:r>
      <w:r w:rsidR="00730D47" w:rsidRPr="00730D47">
        <w:rPr>
          <w:lang w:val="fr-FR"/>
        </w:rPr>
        <w:t>les violences perpétrées dans l</w:t>
      </w:r>
      <w:r w:rsidR="00603708">
        <w:rPr>
          <w:lang w:val="fr-FR"/>
        </w:rPr>
        <w:t>’</w:t>
      </w:r>
      <w:r w:rsidR="00730D47" w:rsidRPr="00730D47">
        <w:rPr>
          <w:lang w:val="fr-FR"/>
        </w:rPr>
        <w:t>école et l</w:t>
      </w:r>
      <w:r w:rsidR="00603708">
        <w:rPr>
          <w:lang w:val="fr-FR"/>
        </w:rPr>
        <w:t>’</w:t>
      </w:r>
      <w:r w:rsidR="00730D47" w:rsidRPr="00730D47">
        <w:rPr>
          <w:lang w:val="fr-FR"/>
        </w:rPr>
        <w:t>arrestation des occupants. Elle releva, d</w:t>
      </w:r>
      <w:r w:rsidR="00603708">
        <w:rPr>
          <w:lang w:val="fr-FR"/>
        </w:rPr>
        <w:t>’</w:t>
      </w:r>
      <w:r w:rsidR="00730D47" w:rsidRPr="00730D47">
        <w:rPr>
          <w:lang w:val="fr-FR"/>
        </w:rPr>
        <w:t>une part, que les occupants de l</w:t>
      </w:r>
      <w:r w:rsidR="00603708">
        <w:rPr>
          <w:lang w:val="fr-FR"/>
        </w:rPr>
        <w:t>’</w:t>
      </w:r>
      <w:r w:rsidR="00730D47" w:rsidRPr="00730D47">
        <w:rPr>
          <w:lang w:val="fr-FR"/>
        </w:rPr>
        <w:t>école n</w:t>
      </w:r>
      <w:r w:rsidR="00603708">
        <w:rPr>
          <w:lang w:val="fr-FR"/>
        </w:rPr>
        <w:t>’</w:t>
      </w:r>
      <w:r w:rsidR="00730D47" w:rsidRPr="00730D47">
        <w:rPr>
          <w:lang w:val="fr-FR"/>
        </w:rPr>
        <w:t>avaient pas opposé de résistance, ni avant l</w:t>
      </w:r>
      <w:r w:rsidR="00603708">
        <w:rPr>
          <w:lang w:val="fr-FR"/>
        </w:rPr>
        <w:t>’</w:t>
      </w:r>
      <w:r w:rsidR="00730D47" w:rsidRPr="00730D47">
        <w:rPr>
          <w:lang w:val="fr-FR"/>
        </w:rPr>
        <w:t>enfoncement de la porte d</w:t>
      </w:r>
      <w:r w:rsidR="00603708">
        <w:rPr>
          <w:lang w:val="fr-FR"/>
        </w:rPr>
        <w:t>’</w:t>
      </w:r>
      <w:r w:rsidR="00730D47" w:rsidRPr="00730D47">
        <w:rPr>
          <w:lang w:val="fr-FR"/>
        </w:rPr>
        <w:t>entrée ni à l</w:t>
      </w:r>
      <w:r w:rsidR="00603708">
        <w:rPr>
          <w:lang w:val="fr-FR"/>
        </w:rPr>
        <w:t>’</w:t>
      </w:r>
      <w:r w:rsidR="00730D47" w:rsidRPr="00730D47">
        <w:rPr>
          <w:lang w:val="fr-FR"/>
        </w:rPr>
        <w:t>intérieur des locaux, et, d</w:t>
      </w:r>
      <w:r w:rsidR="00603708">
        <w:rPr>
          <w:lang w:val="fr-FR"/>
        </w:rPr>
        <w:t>’</w:t>
      </w:r>
      <w:r w:rsidR="00730D47" w:rsidRPr="00730D47">
        <w:rPr>
          <w:lang w:val="fr-FR"/>
        </w:rPr>
        <w:t>autre part, que les occupants n</w:t>
      </w:r>
      <w:r w:rsidR="00603708">
        <w:rPr>
          <w:lang w:val="fr-FR"/>
        </w:rPr>
        <w:t>’</w:t>
      </w:r>
      <w:r w:rsidR="00730D47" w:rsidRPr="00730D47">
        <w:rPr>
          <w:lang w:val="fr-FR"/>
        </w:rPr>
        <w:t>étaient pas en possession de cocktails Molotov, ceux-ci ayant été introduits dans l</w:t>
      </w:r>
      <w:r w:rsidR="00603708">
        <w:rPr>
          <w:lang w:val="fr-FR"/>
        </w:rPr>
        <w:t>’</w:t>
      </w:r>
      <w:r w:rsidR="00730D47" w:rsidRPr="00730D47">
        <w:rPr>
          <w:lang w:val="fr-FR"/>
        </w:rPr>
        <w:t>école par la police depuis l</w:t>
      </w:r>
      <w:r w:rsidR="00603708">
        <w:rPr>
          <w:lang w:val="fr-FR"/>
        </w:rPr>
        <w:t>’</w:t>
      </w:r>
      <w:r w:rsidR="00730D47" w:rsidRPr="00730D47">
        <w:rPr>
          <w:lang w:val="fr-FR"/>
        </w:rPr>
        <w:t>extérieur. Aussi la Cour de cassation conclut-elle au caractère fallacieux des rapports de police qui attestaient le contraire et au caractère calomnieux de l</w:t>
      </w:r>
      <w:r w:rsidR="00603708">
        <w:rPr>
          <w:lang w:val="fr-FR"/>
        </w:rPr>
        <w:t>’</w:t>
      </w:r>
      <w:r w:rsidR="00730D47" w:rsidRPr="00730D47">
        <w:rPr>
          <w:lang w:val="fr-FR"/>
        </w:rPr>
        <w:t>accusation d</w:t>
      </w:r>
      <w:r w:rsidR="00603708">
        <w:rPr>
          <w:lang w:val="fr-FR"/>
        </w:rPr>
        <w:t>’</w:t>
      </w:r>
      <w:r w:rsidR="00730D47" w:rsidRPr="00730D47">
        <w:rPr>
          <w:lang w:val="fr-FR"/>
        </w:rPr>
        <w:t>association de malfaiteurs formulée contre les occupants. Quant aux conclusions de l</w:t>
      </w:r>
      <w:r w:rsidR="00603708">
        <w:rPr>
          <w:lang w:val="fr-FR"/>
        </w:rPr>
        <w:t>’</w:t>
      </w:r>
      <w:r w:rsidR="00730D47" w:rsidRPr="00730D47">
        <w:rPr>
          <w:lang w:val="fr-FR"/>
        </w:rPr>
        <w:t>arrêt d</w:t>
      </w:r>
      <w:r w:rsidR="00603708">
        <w:rPr>
          <w:lang w:val="fr-FR"/>
        </w:rPr>
        <w:t>’</w:t>
      </w:r>
      <w:r w:rsidR="00730D47" w:rsidRPr="00730D47">
        <w:rPr>
          <w:lang w:val="fr-FR"/>
        </w:rPr>
        <w:t>appel concernant l</w:t>
      </w:r>
      <w:r w:rsidR="00603708">
        <w:rPr>
          <w:lang w:val="fr-FR"/>
        </w:rPr>
        <w:t>’</w:t>
      </w:r>
      <w:r w:rsidR="00730D47" w:rsidRPr="00730D47">
        <w:rPr>
          <w:lang w:val="fr-FR"/>
        </w:rPr>
        <w:t xml:space="preserve">agression au couteau prétendument subie par un agent, la Cour de cassation se limita à préciser la peine </w:t>
      </w:r>
      <w:r w:rsidR="003F7C69">
        <w:rPr>
          <w:lang w:val="fr-FR"/>
        </w:rPr>
        <w:t>prononcée contre</w:t>
      </w:r>
      <w:r w:rsidR="00730D47" w:rsidRPr="00730D47">
        <w:rPr>
          <w:lang w:val="fr-FR"/>
        </w:rPr>
        <w:t xml:space="preserve"> deux agents condamnés de ce fait pour faux (trois ans et cinq mois, comme indiqué dans la motivation de l</w:t>
      </w:r>
      <w:r w:rsidR="00603708">
        <w:rPr>
          <w:lang w:val="fr-FR"/>
        </w:rPr>
        <w:t>’</w:t>
      </w:r>
      <w:r w:rsidR="00730D47" w:rsidRPr="00730D47">
        <w:rPr>
          <w:lang w:val="fr-FR"/>
        </w:rPr>
        <w:t>arrêt d</w:t>
      </w:r>
      <w:r w:rsidR="00603708">
        <w:rPr>
          <w:lang w:val="fr-FR"/>
        </w:rPr>
        <w:t>’</w:t>
      </w:r>
      <w:r w:rsidR="00730D47" w:rsidRPr="00730D47">
        <w:rPr>
          <w:lang w:val="fr-FR"/>
        </w:rPr>
        <w:t>appel, au lieu de trois ans et huit mois, comme indiqué dans le dispositif). Enfin, elle prononça une peine de trois ans et trois mois contre un condamné</w:t>
      </w:r>
      <w:r w:rsidR="003F7C69">
        <w:rPr>
          <w:lang w:val="fr-FR"/>
        </w:rPr>
        <w:t xml:space="preserve"> pour</w:t>
      </w:r>
      <w:r w:rsidR="003F7C69" w:rsidRPr="00730D47">
        <w:rPr>
          <w:lang w:val="fr-FR"/>
        </w:rPr>
        <w:t xml:space="preserve"> délit de faux</w:t>
      </w:r>
      <w:r w:rsidR="00730D47" w:rsidRPr="00730D47">
        <w:rPr>
          <w:lang w:val="fr-FR"/>
        </w:rPr>
        <w:t>, du fait de la prescription du délit de lésions corporelles aggravées et de l</w:t>
      </w:r>
      <w:r w:rsidR="00603708">
        <w:rPr>
          <w:lang w:val="fr-FR"/>
        </w:rPr>
        <w:t>’</w:t>
      </w:r>
      <w:r w:rsidR="00730D47" w:rsidRPr="00730D47">
        <w:rPr>
          <w:lang w:val="fr-FR"/>
        </w:rPr>
        <w:t>inapplicabilité en découlant du critère de calcul prévu par l</w:t>
      </w:r>
      <w:r w:rsidR="00603708">
        <w:rPr>
          <w:lang w:val="fr-FR"/>
        </w:rPr>
        <w:t>’</w:t>
      </w:r>
      <w:r w:rsidR="00730D47" w:rsidRPr="00730D47">
        <w:rPr>
          <w:lang w:val="fr-FR"/>
        </w:rPr>
        <w:t>article 81 du code pénal en raison du caractère continu des délits.</w:t>
      </w:r>
    </w:p>
    <w:p w:rsidR="00730D47" w:rsidRPr="00730D47" w:rsidRDefault="0070376C" w:rsidP="0070376C">
      <w:pPr>
        <w:pStyle w:val="ECHRHeading3"/>
        <w:rPr>
          <w:lang w:val="fr-FR"/>
        </w:rPr>
      </w:pPr>
      <w:r>
        <w:rPr>
          <w:lang w:val="fr-FR"/>
        </w:rPr>
        <w:t>2.</w:t>
      </w:r>
      <w:r w:rsidR="00730D47" w:rsidRPr="00730D47">
        <w:rPr>
          <w:lang w:val="fr-FR"/>
        </w:rPr>
        <w:t>  Sur les événements de l</w:t>
      </w:r>
      <w:r w:rsidR="00603708">
        <w:rPr>
          <w:lang w:val="fr-FR"/>
        </w:rPr>
        <w:t>’</w:t>
      </w:r>
      <w:r w:rsidR="00730D47" w:rsidRPr="00730D47">
        <w:rPr>
          <w:lang w:val="fr-FR"/>
        </w:rPr>
        <w:t>école Pascoli</w:t>
      </w:r>
    </w:p>
    <w:p w:rsidR="00730D47" w:rsidRPr="00730D47" w:rsidRDefault="0070376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81</w:t>
      </w:r>
      <w:r>
        <w:rPr>
          <w:lang w:val="fr-FR"/>
        </w:rPr>
        <w:fldChar w:fldCharType="end"/>
      </w:r>
      <w:r>
        <w:rPr>
          <w:lang w:val="fr-FR"/>
        </w:rPr>
        <w:t>.  </w:t>
      </w:r>
      <w:r w:rsidR="00730D47" w:rsidRPr="00730D47">
        <w:rPr>
          <w:lang w:val="fr-FR"/>
        </w:rPr>
        <w:t>Les chefs d</w:t>
      </w:r>
      <w:r w:rsidR="00603708">
        <w:rPr>
          <w:lang w:val="fr-FR"/>
        </w:rPr>
        <w:t>’</w:t>
      </w:r>
      <w:r w:rsidR="00730D47" w:rsidRPr="00730D47">
        <w:rPr>
          <w:lang w:val="fr-FR"/>
        </w:rPr>
        <w:t>accusation retenus pour les événements de l</w:t>
      </w:r>
      <w:r w:rsidR="00603708">
        <w:rPr>
          <w:lang w:val="fr-FR"/>
        </w:rPr>
        <w:t>’</w:t>
      </w:r>
      <w:r w:rsidR="00730D47" w:rsidRPr="00730D47">
        <w:rPr>
          <w:lang w:val="fr-FR"/>
        </w:rPr>
        <w:t>école Pascoli furent, notamment, les délits de perquisition arbitraire et de dommages matériels.</w:t>
      </w:r>
    </w:p>
    <w:p w:rsidR="00730D47" w:rsidRPr="00730D47" w:rsidRDefault="0070376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82</w:t>
      </w:r>
      <w:r>
        <w:rPr>
          <w:lang w:val="fr-FR"/>
        </w:rPr>
        <w:fldChar w:fldCharType="end"/>
      </w:r>
      <w:r>
        <w:rPr>
          <w:lang w:val="fr-FR"/>
        </w:rPr>
        <w:t>.  </w:t>
      </w:r>
      <w:r w:rsidR="00730D47" w:rsidRPr="00730D47">
        <w:rPr>
          <w:lang w:val="fr-FR"/>
        </w:rPr>
        <w:t>Par le jugement n</w:t>
      </w:r>
      <w:r w:rsidR="00730D47" w:rsidRPr="00730D47">
        <w:rPr>
          <w:vertAlign w:val="superscript"/>
          <w:lang w:val="fr-FR"/>
        </w:rPr>
        <w:t>o</w:t>
      </w:r>
      <w:r w:rsidR="00730D47" w:rsidRPr="00730D47">
        <w:rPr>
          <w:lang w:val="fr-FR"/>
        </w:rPr>
        <w:t xml:space="preserve"> 4252/08 (</w:t>
      </w:r>
      <w:r w:rsidR="001F23BF" w:rsidRPr="00AC0DAF">
        <w:rPr>
          <w:lang w:val="fr-FR"/>
        </w:rPr>
        <w:t>paragraphe 49</w:t>
      </w:r>
      <w:r w:rsidR="00730D47" w:rsidRPr="00AC0DAF">
        <w:rPr>
          <w:lang w:val="fr-FR"/>
        </w:rPr>
        <w:t xml:space="preserve"> ci-dessus</w:t>
      </w:r>
      <w:r w:rsidR="00730D47" w:rsidRPr="00730D47">
        <w:rPr>
          <w:lang w:val="fr-FR"/>
        </w:rPr>
        <w:t xml:space="preserve">), le tribunal de Gênes </w:t>
      </w:r>
      <w:r w:rsidR="003F7C69">
        <w:rPr>
          <w:lang w:val="fr-FR"/>
        </w:rPr>
        <w:t>estima</w:t>
      </w:r>
      <w:r w:rsidR="00730D47" w:rsidRPr="00730D47">
        <w:rPr>
          <w:lang w:val="fr-FR"/>
        </w:rPr>
        <w:t xml:space="preserve"> que l</w:t>
      </w:r>
      <w:r w:rsidR="00603708">
        <w:rPr>
          <w:lang w:val="fr-FR"/>
        </w:rPr>
        <w:t>’</w:t>
      </w:r>
      <w:r w:rsidR="00730D47" w:rsidRPr="00730D47">
        <w:rPr>
          <w:lang w:val="fr-FR"/>
        </w:rPr>
        <w:t>irruption des agents de police dans l</w:t>
      </w:r>
      <w:r w:rsidR="00603708">
        <w:rPr>
          <w:lang w:val="fr-FR"/>
        </w:rPr>
        <w:t>’</w:t>
      </w:r>
      <w:r w:rsidR="00730D47" w:rsidRPr="00730D47">
        <w:rPr>
          <w:lang w:val="fr-FR"/>
        </w:rPr>
        <w:t>école Pascoli était la conséquence d</w:t>
      </w:r>
      <w:r w:rsidR="00603708">
        <w:rPr>
          <w:lang w:val="fr-FR"/>
        </w:rPr>
        <w:t>’</w:t>
      </w:r>
      <w:r w:rsidR="00730D47" w:rsidRPr="00730D47">
        <w:rPr>
          <w:lang w:val="fr-FR"/>
        </w:rPr>
        <w:t>une erreur dans l</w:t>
      </w:r>
      <w:r w:rsidR="00603708">
        <w:rPr>
          <w:lang w:val="fr-FR"/>
        </w:rPr>
        <w:t>’</w:t>
      </w:r>
      <w:r w:rsidR="00730D47" w:rsidRPr="00730D47">
        <w:rPr>
          <w:lang w:val="fr-FR"/>
        </w:rPr>
        <w:t xml:space="preserve">identification du bâtiment à perquisitionner. Il </w:t>
      </w:r>
      <w:r w:rsidR="003F7C69">
        <w:rPr>
          <w:lang w:val="fr-FR"/>
        </w:rPr>
        <w:t>jugea</w:t>
      </w:r>
      <w:r w:rsidR="003F7C69" w:rsidRPr="00730D47">
        <w:rPr>
          <w:lang w:val="fr-FR"/>
        </w:rPr>
        <w:t xml:space="preserve"> </w:t>
      </w:r>
      <w:r w:rsidR="00730D47" w:rsidRPr="00730D47">
        <w:rPr>
          <w:lang w:val="fr-FR"/>
        </w:rPr>
        <w:t>en outre qu</w:t>
      </w:r>
      <w:r w:rsidR="00603708">
        <w:rPr>
          <w:lang w:val="fr-FR"/>
        </w:rPr>
        <w:t>’</w:t>
      </w:r>
      <w:r w:rsidR="00730D47" w:rsidRPr="00730D47">
        <w:rPr>
          <w:lang w:val="fr-FR"/>
        </w:rPr>
        <w:t>il n</w:t>
      </w:r>
      <w:r w:rsidR="00603708">
        <w:rPr>
          <w:lang w:val="fr-FR"/>
        </w:rPr>
        <w:t>’</w:t>
      </w:r>
      <w:r w:rsidR="00730D47" w:rsidRPr="00730D47">
        <w:rPr>
          <w:lang w:val="fr-FR"/>
        </w:rPr>
        <w:t>y avait pas de preuves certaines permettant de conclure que les accusés avaient effectivement commis dans l</w:t>
      </w:r>
      <w:r w:rsidR="00603708">
        <w:rPr>
          <w:lang w:val="fr-FR"/>
        </w:rPr>
        <w:t>’</w:t>
      </w:r>
      <w:r w:rsidR="00730D47" w:rsidRPr="00730D47">
        <w:rPr>
          <w:lang w:val="fr-FR"/>
        </w:rPr>
        <w:t>école Pascoli les dégâts dénoncés.</w:t>
      </w:r>
    </w:p>
    <w:p w:rsidR="00730D47" w:rsidRPr="00730D47" w:rsidRDefault="0070376C" w:rsidP="00730D4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83</w:t>
      </w:r>
      <w:r>
        <w:rPr>
          <w:lang w:val="fr-FR"/>
        </w:rPr>
        <w:fldChar w:fldCharType="end"/>
      </w:r>
      <w:r>
        <w:rPr>
          <w:lang w:val="fr-FR"/>
        </w:rPr>
        <w:t>.  </w:t>
      </w:r>
      <w:r w:rsidR="00730D47" w:rsidRPr="00730D47">
        <w:rPr>
          <w:lang w:val="fr-FR"/>
        </w:rPr>
        <w:t>Par l</w:t>
      </w:r>
      <w:r w:rsidR="00603708">
        <w:rPr>
          <w:lang w:val="fr-FR"/>
        </w:rPr>
        <w:t>’</w:t>
      </w:r>
      <w:r w:rsidR="00730D47" w:rsidRPr="00730D47">
        <w:rPr>
          <w:szCs w:val="24"/>
          <w:lang w:val="fr-FR"/>
        </w:rPr>
        <w:t>arrêt n</w:t>
      </w:r>
      <w:r w:rsidR="00730D47" w:rsidRPr="00730D47">
        <w:rPr>
          <w:szCs w:val="24"/>
          <w:vertAlign w:val="superscript"/>
          <w:lang w:val="fr-FR"/>
        </w:rPr>
        <w:t>o</w:t>
      </w:r>
      <w:r w:rsidR="00730D47" w:rsidRPr="00730D47">
        <w:rPr>
          <w:szCs w:val="24"/>
          <w:lang w:val="fr-FR"/>
        </w:rPr>
        <w:t xml:space="preserve"> 1530/10 (</w:t>
      </w:r>
      <w:r w:rsidR="001F23BF" w:rsidRPr="00AC0DAF">
        <w:rPr>
          <w:szCs w:val="24"/>
          <w:lang w:val="fr-FR"/>
        </w:rPr>
        <w:t>paragraphe 59</w:t>
      </w:r>
      <w:r w:rsidR="00730D47" w:rsidRPr="00AC0DAF">
        <w:rPr>
          <w:szCs w:val="24"/>
          <w:lang w:val="fr-FR"/>
        </w:rPr>
        <w:t xml:space="preserve"> ci-dessus</w:t>
      </w:r>
      <w:r w:rsidR="00730D47" w:rsidRPr="00730D47">
        <w:rPr>
          <w:szCs w:val="24"/>
          <w:lang w:val="fr-FR"/>
        </w:rPr>
        <w:t>),</w:t>
      </w:r>
      <w:r w:rsidR="00730D47" w:rsidRPr="00730D47">
        <w:rPr>
          <w:lang w:val="fr-FR"/>
        </w:rPr>
        <w:t xml:space="preserve"> la cour d</w:t>
      </w:r>
      <w:r w:rsidR="00603708">
        <w:rPr>
          <w:lang w:val="fr-FR"/>
        </w:rPr>
        <w:t>’</w:t>
      </w:r>
      <w:r w:rsidR="00730D47" w:rsidRPr="00730D47">
        <w:rPr>
          <w:lang w:val="fr-FR"/>
        </w:rPr>
        <w:t>appel de Gênes estima, en revanche, qu</w:t>
      </w:r>
      <w:r w:rsidR="00603708">
        <w:rPr>
          <w:lang w:val="fr-FR"/>
        </w:rPr>
        <w:t>’</w:t>
      </w:r>
      <w:r w:rsidR="00730D47" w:rsidRPr="00730D47">
        <w:rPr>
          <w:lang w:val="fr-FR"/>
        </w:rPr>
        <w:t>il n</w:t>
      </w:r>
      <w:r w:rsidR="00603708">
        <w:rPr>
          <w:lang w:val="fr-FR"/>
        </w:rPr>
        <w:t>’</w:t>
      </w:r>
      <w:r w:rsidR="00730D47" w:rsidRPr="00730D47">
        <w:rPr>
          <w:lang w:val="fr-FR"/>
        </w:rPr>
        <w:t>y avait pas d</w:t>
      </w:r>
      <w:r w:rsidR="00603708">
        <w:rPr>
          <w:lang w:val="fr-FR"/>
        </w:rPr>
        <w:t>’</w:t>
      </w:r>
      <w:r w:rsidR="00730D47" w:rsidRPr="00730D47">
        <w:rPr>
          <w:lang w:val="fr-FR"/>
        </w:rPr>
        <w:t>erreur ou de malentendu à l</w:t>
      </w:r>
      <w:r w:rsidR="00603708">
        <w:rPr>
          <w:lang w:val="fr-FR"/>
        </w:rPr>
        <w:t>’</w:t>
      </w:r>
      <w:r w:rsidR="00730D47" w:rsidRPr="00730D47">
        <w:rPr>
          <w:lang w:val="fr-FR"/>
        </w:rPr>
        <w:t>origine de l</w:t>
      </w:r>
      <w:r w:rsidR="00603708">
        <w:rPr>
          <w:lang w:val="fr-FR"/>
        </w:rPr>
        <w:t>’</w:t>
      </w:r>
      <w:r w:rsidR="00730D47" w:rsidRPr="00730D47">
        <w:rPr>
          <w:lang w:val="fr-FR"/>
        </w:rPr>
        <w:t>irruption de la police dans l</w:t>
      </w:r>
      <w:r w:rsidR="00603708">
        <w:rPr>
          <w:lang w:val="fr-FR"/>
        </w:rPr>
        <w:t>’</w:t>
      </w:r>
      <w:r w:rsidR="00730D47" w:rsidRPr="00730D47">
        <w:rPr>
          <w:lang w:val="fr-FR"/>
        </w:rPr>
        <w:t>école Pascoli. Selon la cour d</w:t>
      </w:r>
      <w:r w:rsidR="00603708">
        <w:rPr>
          <w:lang w:val="fr-FR"/>
        </w:rPr>
        <w:t>’</w:t>
      </w:r>
      <w:r w:rsidR="00730D47" w:rsidRPr="00730D47">
        <w:rPr>
          <w:lang w:val="fr-FR"/>
        </w:rPr>
        <w:t>appel, les forces de l</w:t>
      </w:r>
      <w:r w:rsidR="00603708">
        <w:rPr>
          <w:lang w:val="fr-FR"/>
        </w:rPr>
        <w:t>’</w:t>
      </w:r>
      <w:r w:rsidR="00730D47" w:rsidRPr="00730D47">
        <w:rPr>
          <w:lang w:val="fr-FR"/>
        </w:rPr>
        <w:t>ordre avaient voulu supprimer toute preuve filmée de l</w:t>
      </w:r>
      <w:r w:rsidR="00603708">
        <w:rPr>
          <w:lang w:val="fr-FR"/>
        </w:rPr>
        <w:t>’</w:t>
      </w:r>
      <w:r w:rsidR="00730D47" w:rsidRPr="00730D47">
        <w:rPr>
          <w:lang w:val="fr-FR"/>
        </w:rPr>
        <w:t>irruption qui se déroul</w:t>
      </w:r>
      <w:r w:rsidR="003F7C69">
        <w:rPr>
          <w:lang w:val="fr-FR"/>
        </w:rPr>
        <w:t>ait</w:t>
      </w:r>
      <w:r w:rsidR="00730D47" w:rsidRPr="00730D47">
        <w:rPr>
          <w:lang w:val="fr-FR"/>
        </w:rPr>
        <w:t xml:space="preserve"> dans l</w:t>
      </w:r>
      <w:r w:rsidR="00603708">
        <w:rPr>
          <w:lang w:val="fr-FR"/>
        </w:rPr>
        <w:t>’</w:t>
      </w:r>
      <w:r w:rsidR="00730D47" w:rsidRPr="00730D47">
        <w:rPr>
          <w:lang w:val="fr-FR"/>
        </w:rPr>
        <w:t xml:space="preserve">école voisine Diaz-Pertini et </w:t>
      </w:r>
      <w:r w:rsidR="003F7C69">
        <w:rPr>
          <w:lang w:val="fr-FR"/>
        </w:rPr>
        <w:t xml:space="preserve">elles </w:t>
      </w:r>
      <w:r w:rsidR="00730D47" w:rsidRPr="00730D47">
        <w:rPr>
          <w:lang w:val="fr-FR"/>
        </w:rPr>
        <w:t>avaient endommagé volontairement les ordinateurs des avocats. La cour d</w:t>
      </w:r>
      <w:r w:rsidR="00603708">
        <w:rPr>
          <w:lang w:val="fr-FR"/>
        </w:rPr>
        <w:t>’</w:t>
      </w:r>
      <w:r w:rsidR="00730D47" w:rsidRPr="00730D47">
        <w:rPr>
          <w:lang w:val="fr-FR"/>
        </w:rPr>
        <w:t>appel prononça toutefois un non-lieu à l</w:t>
      </w:r>
      <w:r w:rsidR="00603708">
        <w:rPr>
          <w:lang w:val="fr-FR"/>
        </w:rPr>
        <w:t>’</w:t>
      </w:r>
      <w:r w:rsidR="00730D47" w:rsidRPr="00730D47">
        <w:rPr>
          <w:lang w:val="fr-FR"/>
        </w:rPr>
        <w:t xml:space="preserve">égard du fonctionnaire de police accusé pour cause de prescription des délits </w:t>
      </w:r>
      <w:r w:rsidR="00524A5E">
        <w:rPr>
          <w:lang w:val="fr-FR"/>
        </w:rPr>
        <w:t>litigieux</w:t>
      </w:r>
      <w:r w:rsidR="00730D47" w:rsidRPr="00730D47">
        <w:rPr>
          <w:lang w:val="fr-FR"/>
        </w:rPr>
        <w:t>.</w:t>
      </w:r>
    </w:p>
    <w:p w:rsidR="00730D47" w:rsidRPr="00730D47" w:rsidRDefault="0070376C" w:rsidP="00730D47">
      <w:pPr>
        <w:pStyle w:val="ECHRPara"/>
        <w:rPr>
          <w:lang w:val="fr-FR"/>
        </w:rPr>
      </w:pPr>
      <w:r>
        <w:rPr>
          <w:rStyle w:val="JuHaChar"/>
          <w:b w:val="0"/>
          <w:sz w:val="24"/>
          <w:szCs w:val="24"/>
          <w:lang w:val="fr-FR"/>
        </w:rPr>
        <w:fldChar w:fldCharType="begin"/>
      </w:r>
      <w:r>
        <w:rPr>
          <w:rStyle w:val="JuHaChar"/>
          <w:b w:val="0"/>
          <w:sz w:val="24"/>
          <w:szCs w:val="24"/>
          <w:lang w:val="fr-FR"/>
        </w:rPr>
        <w:instrText xml:space="preserve"> SEQ level0 \*arabic </w:instrText>
      </w:r>
      <w:r>
        <w:rPr>
          <w:rStyle w:val="JuHaChar"/>
          <w:b w:val="0"/>
          <w:sz w:val="24"/>
          <w:szCs w:val="24"/>
          <w:lang w:val="fr-FR"/>
        </w:rPr>
        <w:fldChar w:fldCharType="separate"/>
      </w:r>
      <w:r w:rsidR="00B378F9">
        <w:rPr>
          <w:rStyle w:val="JuHaChar"/>
          <w:b w:val="0"/>
          <w:noProof/>
          <w:sz w:val="24"/>
          <w:szCs w:val="24"/>
          <w:lang w:val="fr-FR"/>
        </w:rPr>
        <w:t>84</w:t>
      </w:r>
      <w:r>
        <w:rPr>
          <w:rStyle w:val="JuHaChar"/>
          <w:b w:val="0"/>
          <w:sz w:val="24"/>
          <w:szCs w:val="24"/>
          <w:lang w:val="fr-FR"/>
        </w:rPr>
        <w:fldChar w:fldCharType="end"/>
      </w:r>
      <w:r>
        <w:rPr>
          <w:rStyle w:val="JuHaChar"/>
          <w:b w:val="0"/>
          <w:sz w:val="24"/>
          <w:szCs w:val="24"/>
          <w:lang w:val="fr-FR"/>
        </w:rPr>
        <w:t>.  </w:t>
      </w:r>
      <w:r w:rsidR="00730D47" w:rsidRPr="0070376C">
        <w:rPr>
          <w:rStyle w:val="JuHaChar"/>
          <w:b w:val="0"/>
          <w:sz w:val="24"/>
          <w:szCs w:val="24"/>
          <w:lang w:val="fr-FR"/>
        </w:rPr>
        <w:t>Par l</w:t>
      </w:r>
      <w:r w:rsidR="00603708">
        <w:rPr>
          <w:rStyle w:val="JuHaChar"/>
          <w:b w:val="0"/>
          <w:sz w:val="24"/>
          <w:szCs w:val="24"/>
          <w:lang w:val="fr-FR"/>
        </w:rPr>
        <w:t>’</w:t>
      </w:r>
      <w:r w:rsidR="00730D47" w:rsidRPr="0070376C">
        <w:rPr>
          <w:rStyle w:val="JuHaChar"/>
          <w:b w:val="0"/>
          <w:sz w:val="24"/>
          <w:szCs w:val="24"/>
          <w:lang w:val="fr-FR"/>
        </w:rPr>
        <w:t xml:space="preserve">arrêt </w:t>
      </w:r>
      <w:r w:rsidR="00730D47" w:rsidRPr="0070376C">
        <w:rPr>
          <w:rStyle w:val="sb8d990e2"/>
          <w:szCs w:val="24"/>
          <w:lang w:val="fr-FR"/>
        </w:rPr>
        <w:t>n</w:t>
      </w:r>
      <w:r w:rsidR="00730D47" w:rsidRPr="0070376C">
        <w:rPr>
          <w:rStyle w:val="sea881cdfhasverticalalignsuper"/>
          <w:szCs w:val="24"/>
          <w:vertAlign w:val="superscript"/>
          <w:lang w:val="fr-FR"/>
        </w:rPr>
        <w:t>o</w:t>
      </w:r>
      <w:r w:rsidR="00730D47" w:rsidRPr="0070376C">
        <w:rPr>
          <w:rStyle w:val="JuHaChar"/>
          <w:b w:val="0"/>
          <w:sz w:val="24"/>
          <w:szCs w:val="24"/>
          <w:lang w:val="fr-FR"/>
        </w:rPr>
        <w:t xml:space="preserve"> 38085/12 (</w:t>
      </w:r>
      <w:r w:rsidR="001F23BF" w:rsidRPr="00AC0DAF">
        <w:rPr>
          <w:rStyle w:val="JuHaChar"/>
          <w:b w:val="0"/>
          <w:sz w:val="24"/>
          <w:szCs w:val="24"/>
          <w:lang w:val="fr-FR"/>
        </w:rPr>
        <w:t>paragraphe 76</w:t>
      </w:r>
      <w:r w:rsidR="00730D47" w:rsidRPr="00AC0DAF">
        <w:rPr>
          <w:rStyle w:val="JuHaChar"/>
          <w:b w:val="0"/>
          <w:sz w:val="24"/>
          <w:szCs w:val="24"/>
          <w:lang w:val="fr-FR"/>
        </w:rPr>
        <w:t xml:space="preserve"> ci-dessus</w:t>
      </w:r>
      <w:r w:rsidR="00730D47" w:rsidRPr="0070376C">
        <w:rPr>
          <w:rStyle w:val="JuHaChar"/>
          <w:b w:val="0"/>
          <w:sz w:val="24"/>
          <w:szCs w:val="24"/>
          <w:lang w:val="fr-FR"/>
        </w:rPr>
        <w:t>), la Cour de cassation confirma c</w:t>
      </w:r>
      <w:r w:rsidR="00730D47" w:rsidRPr="0070376C">
        <w:rPr>
          <w:szCs w:val="24"/>
          <w:lang w:val="fr-FR"/>
        </w:rPr>
        <w:t>ette décision. Elle souligna que la cour d</w:t>
      </w:r>
      <w:r w:rsidR="00603708">
        <w:rPr>
          <w:szCs w:val="24"/>
          <w:lang w:val="fr-FR"/>
        </w:rPr>
        <w:t>’</w:t>
      </w:r>
      <w:r w:rsidR="00730D47" w:rsidRPr="0070376C">
        <w:rPr>
          <w:szCs w:val="24"/>
          <w:lang w:val="fr-FR"/>
        </w:rPr>
        <w:t>appel</w:t>
      </w:r>
      <w:r w:rsidR="00730D47" w:rsidRPr="00730D47">
        <w:rPr>
          <w:szCs w:val="24"/>
          <w:lang w:val="fr-FR"/>
        </w:rPr>
        <w:t xml:space="preserve"> avait pleinement justifié ses conclusions en relevant que, dans l</w:t>
      </w:r>
      <w:r w:rsidR="00603708">
        <w:rPr>
          <w:szCs w:val="24"/>
          <w:lang w:val="fr-FR"/>
        </w:rPr>
        <w:t>’</w:t>
      </w:r>
      <w:r w:rsidR="00730D47" w:rsidRPr="00730D47">
        <w:rPr>
          <w:szCs w:val="24"/>
          <w:lang w:val="fr-FR"/>
        </w:rPr>
        <w:t>école Pascoli, la police avait accompli une perquisition arbitraire, visant à la recherche et à la destruction du matériel audiovisuel et de toute autre documentation concernant les événements de l</w:t>
      </w:r>
      <w:r w:rsidR="00603708">
        <w:rPr>
          <w:szCs w:val="24"/>
          <w:lang w:val="fr-FR"/>
        </w:rPr>
        <w:t>’</w:t>
      </w:r>
      <w:r w:rsidR="00730D47" w:rsidRPr="00730D47">
        <w:rPr>
          <w:szCs w:val="24"/>
          <w:lang w:val="fr-FR"/>
        </w:rPr>
        <w:t>école Diaz-Pertini</w:t>
      </w:r>
      <w:r w:rsidR="00730D47" w:rsidRPr="00730D47">
        <w:rPr>
          <w:lang w:val="fr-FR"/>
        </w:rPr>
        <w:t>.</w:t>
      </w:r>
    </w:p>
    <w:p w:rsidR="00730D47" w:rsidRPr="00730D47" w:rsidRDefault="00D26D31" w:rsidP="00D26D31">
      <w:pPr>
        <w:pStyle w:val="ECHRHeading2"/>
        <w:rPr>
          <w:lang w:val="fr-FR"/>
        </w:rPr>
      </w:pPr>
      <w:r>
        <w:rPr>
          <w:lang w:val="fr-FR"/>
        </w:rPr>
        <w:t>H</w:t>
      </w:r>
      <w:r w:rsidR="00730D47" w:rsidRPr="00730D47">
        <w:rPr>
          <w:lang w:val="fr-FR"/>
        </w:rPr>
        <w:t>.  L</w:t>
      </w:r>
      <w:r w:rsidR="00603708">
        <w:rPr>
          <w:lang w:val="fr-FR"/>
        </w:rPr>
        <w:t>’</w:t>
      </w:r>
      <w:r w:rsidR="00730D47" w:rsidRPr="00730D47">
        <w:rPr>
          <w:lang w:val="fr-FR"/>
        </w:rPr>
        <w:t>enquête parlementaire d</w:t>
      </w:r>
      <w:r w:rsidR="00603708">
        <w:rPr>
          <w:lang w:val="fr-FR"/>
        </w:rPr>
        <w:t>’</w:t>
      </w:r>
      <w:r w:rsidR="00730D47" w:rsidRPr="00730D47">
        <w:rPr>
          <w:lang w:val="fr-FR"/>
        </w:rPr>
        <w:t>information</w:t>
      </w:r>
    </w:p>
    <w:p w:rsidR="00730D47" w:rsidRPr="00730D47" w:rsidRDefault="00D26D31" w:rsidP="00730D47">
      <w:pPr>
        <w:pStyle w:val="ECHRPara"/>
        <w:rPr>
          <w:szCs w:val="24"/>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85</w:t>
      </w:r>
      <w:r>
        <w:rPr>
          <w:szCs w:val="24"/>
          <w:lang w:val="fr-FR"/>
        </w:rPr>
        <w:fldChar w:fldCharType="end"/>
      </w:r>
      <w:r>
        <w:rPr>
          <w:szCs w:val="24"/>
          <w:lang w:val="fr-FR"/>
        </w:rPr>
        <w:t>.  </w:t>
      </w:r>
      <w:r w:rsidR="00730D47" w:rsidRPr="00730D47">
        <w:rPr>
          <w:szCs w:val="24"/>
          <w:lang w:val="fr-FR"/>
        </w:rPr>
        <w:t xml:space="preserve">Le 2 août 2001, les présidents </w:t>
      </w:r>
      <w:r w:rsidR="00524A5E" w:rsidRPr="00730D47">
        <w:rPr>
          <w:szCs w:val="24"/>
          <w:lang w:val="fr-FR"/>
        </w:rPr>
        <w:t xml:space="preserve">de la Chambre des députés </w:t>
      </w:r>
      <w:r w:rsidR="00524A5E">
        <w:rPr>
          <w:szCs w:val="24"/>
          <w:lang w:val="fr-FR"/>
        </w:rPr>
        <w:t xml:space="preserve">et </w:t>
      </w:r>
      <w:r w:rsidR="00730D47" w:rsidRPr="00730D47">
        <w:rPr>
          <w:szCs w:val="24"/>
          <w:lang w:val="fr-FR"/>
        </w:rPr>
        <w:t>du Sénat décidèrent qu</w:t>
      </w:r>
      <w:r w:rsidR="00603708">
        <w:rPr>
          <w:szCs w:val="24"/>
          <w:lang w:val="fr-FR"/>
        </w:rPr>
        <w:t>’</w:t>
      </w:r>
      <w:r w:rsidR="00730D47" w:rsidRPr="00730D47">
        <w:rPr>
          <w:szCs w:val="24"/>
          <w:lang w:val="fr-FR"/>
        </w:rPr>
        <w:t>une enquête d</w:t>
      </w:r>
      <w:r w:rsidR="00603708">
        <w:rPr>
          <w:szCs w:val="24"/>
          <w:lang w:val="fr-FR"/>
        </w:rPr>
        <w:t>’</w:t>
      </w:r>
      <w:r w:rsidR="00730D47" w:rsidRPr="00730D47">
        <w:rPr>
          <w:szCs w:val="24"/>
          <w:lang w:val="fr-FR"/>
        </w:rPr>
        <w:t>information (</w:t>
      </w:r>
      <w:r w:rsidR="00730D47" w:rsidRPr="00730D47">
        <w:rPr>
          <w:i/>
          <w:szCs w:val="24"/>
          <w:lang w:val="fr-FR"/>
        </w:rPr>
        <w:t>indagine conoscitiva</w:t>
      </w:r>
      <w:r w:rsidR="00730D47" w:rsidRPr="00730D47">
        <w:rPr>
          <w:szCs w:val="24"/>
          <w:lang w:val="fr-FR"/>
        </w:rPr>
        <w:t xml:space="preserve">) sur les faits survenus lors du G8 de Gênes serait menée par les commissions des Affaires constitutionnelles des deux chambres du Parlement. </w:t>
      </w:r>
      <w:r w:rsidRPr="00730D47">
        <w:rPr>
          <w:szCs w:val="24"/>
          <w:lang w:val="fr-FR"/>
        </w:rPr>
        <w:t>À</w:t>
      </w:r>
      <w:r w:rsidR="00730D47" w:rsidRPr="00730D47">
        <w:rPr>
          <w:szCs w:val="24"/>
          <w:lang w:val="fr-FR"/>
        </w:rPr>
        <w:t xml:space="preserve"> cette fin, il fut créé une commission composée de dix-huit députés et de dix-huit sénateurs.</w:t>
      </w:r>
    </w:p>
    <w:p w:rsidR="00730D47" w:rsidRPr="00730D47" w:rsidRDefault="00D26D31" w:rsidP="00730D47">
      <w:pPr>
        <w:pStyle w:val="ECHRPara"/>
        <w:rPr>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86</w:t>
      </w:r>
      <w:r>
        <w:rPr>
          <w:szCs w:val="24"/>
          <w:lang w:val="fr-FR"/>
        </w:rPr>
        <w:fldChar w:fldCharType="end"/>
      </w:r>
      <w:r>
        <w:rPr>
          <w:szCs w:val="24"/>
          <w:lang w:val="fr-FR"/>
        </w:rPr>
        <w:t>.  </w:t>
      </w:r>
      <w:r w:rsidR="00730D47" w:rsidRPr="00730D47">
        <w:rPr>
          <w:szCs w:val="24"/>
          <w:lang w:val="fr-FR"/>
        </w:rPr>
        <w:t>Le 20 septembre 2001, la commission déposa un rapport contenant les conclusions de sa majorité</w:t>
      </w:r>
      <w:r w:rsidR="003F7C69">
        <w:rPr>
          <w:szCs w:val="24"/>
          <w:lang w:val="fr-FR"/>
        </w:rPr>
        <w:t xml:space="preserve">, </w:t>
      </w:r>
      <w:r w:rsidR="00730D47" w:rsidRPr="00730D47">
        <w:rPr>
          <w:szCs w:val="24"/>
          <w:lang w:val="fr-FR"/>
        </w:rPr>
        <w:t>intitulé « Rapport final de l</w:t>
      </w:r>
      <w:r w:rsidR="00603708">
        <w:rPr>
          <w:szCs w:val="24"/>
          <w:lang w:val="fr-FR"/>
        </w:rPr>
        <w:t>’</w:t>
      </w:r>
      <w:r w:rsidR="00730D47" w:rsidRPr="00730D47">
        <w:rPr>
          <w:szCs w:val="24"/>
          <w:lang w:val="fr-FR"/>
        </w:rPr>
        <w:t>enquête parlementaire sur les faits survenus lors du G8 de Gênes ». D</w:t>
      </w:r>
      <w:r w:rsidR="00603708">
        <w:rPr>
          <w:szCs w:val="24"/>
          <w:lang w:val="fr-FR"/>
        </w:rPr>
        <w:t>’</w:t>
      </w:r>
      <w:r w:rsidR="00730D47" w:rsidRPr="00730D47">
        <w:rPr>
          <w:szCs w:val="24"/>
          <w:lang w:val="fr-FR"/>
        </w:rPr>
        <w:t>après ce rapport, la perquisition dans l</w:t>
      </w:r>
      <w:r w:rsidR="00603708">
        <w:rPr>
          <w:szCs w:val="24"/>
          <w:lang w:val="fr-FR"/>
        </w:rPr>
        <w:t>’</w:t>
      </w:r>
      <w:r w:rsidR="00730D47" w:rsidRPr="00730D47">
        <w:rPr>
          <w:szCs w:val="24"/>
          <w:lang w:val="fr-FR"/>
        </w:rPr>
        <w:t>école Diaz-Pertini « appar[aissait] comme étant peut-être l</w:t>
      </w:r>
      <w:r w:rsidR="00603708">
        <w:rPr>
          <w:szCs w:val="24"/>
          <w:lang w:val="fr-FR"/>
        </w:rPr>
        <w:t>’</w:t>
      </w:r>
      <w:r w:rsidR="00730D47" w:rsidRPr="00730D47">
        <w:rPr>
          <w:szCs w:val="24"/>
          <w:lang w:val="fr-FR"/>
        </w:rPr>
        <w:t>exemple le plus significatif de carences organisationnelles et de dysfonctionnements opérationnels ».</w:t>
      </w:r>
    </w:p>
    <w:p w:rsidR="00E77CB3" w:rsidRPr="00C611D8" w:rsidRDefault="00D26D31" w:rsidP="00C63990">
      <w:pPr>
        <w:pStyle w:val="ECHRHeading1"/>
        <w:rPr>
          <w:lang w:val="fr-FR"/>
        </w:rPr>
      </w:pPr>
      <w:r>
        <w:rPr>
          <w:lang w:val="fr-FR"/>
        </w:rPr>
        <w:t>II.  LE DROIT</w:t>
      </w:r>
      <w:r w:rsidR="008F512D">
        <w:rPr>
          <w:lang w:val="fr-FR"/>
        </w:rPr>
        <w:t xml:space="preserve"> ET LA PRATIQUE</w:t>
      </w:r>
      <w:r w:rsidR="00E77CB3" w:rsidRPr="00C611D8">
        <w:rPr>
          <w:lang w:val="fr-FR"/>
        </w:rPr>
        <w:t xml:space="preserve"> INTERNE</w:t>
      </w:r>
      <w:r w:rsidR="008F512D">
        <w:rPr>
          <w:lang w:val="fr-FR"/>
        </w:rPr>
        <w:t>S</w:t>
      </w:r>
      <w:r w:rsidR="00E77CB3" w:rsidRPr="00C611D8">
        <w:rPr>
          <w:lang w:val="fr-FR"/>
        </w:rPr>
        <w:t xml:space="preserve"> PERTINENT</w:t>
      </w:r>
      <w:r w:rsidR="008F512D">
        <w:rPr>
          <w:lang w:val="fr-FR"/>
        </w:rPr>
        <w:t>S</w:t>
      </w:r>
    </w:p>
    <w:p w:rsidR="0032468C" w:rsidRDefault="00D26D31" w:rsidP="00D26D31">
      <w:pPr>
        <w:pStyle w:val="ECHRHeading2"/>
        <w:rPr>
          <w:lang w:val="fr-FR"/>
        </w:rPr>
      </w:pPr>
      <w:r>
        <w:rPr>
          <w:lang w:val="fr-FR"/>
        </w:rPr>
        <w:t>A</w:t>
      </w:r>
      <w:r w:rsidRPr="00D26D31">
        <w:rPr>
          <w:lang w:val="fr-FR"/>
        </w:rPr>
        <w:t>. </w:t>
      </w:r>
      <w:r w:rsidR="00FB6639">
        <w:rPr>
          <w:lang w:val="fr-FR"/>
        </w:rPr>
        <w:t xml:space="preserve">Les dispositions pénales </w:t>
      </w:r>
      <w:r w:rsidR="003252ED">
        <w:rPr>
          <w:lang w:val="fr-FR"/>
        </w:rPr>
        <w:t>pertinentes</w:t>
      </w:r>
    </w:p>
    <w:p w:rsidR="00132408" w:rsidRPr="00132408" w:rsidRDefault="00132408" w:rsidP="00132408">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87</w:t>
      </w:r>
      <w:r>
        <w:rPr>
          <w:lang w:val="fr-FR"/>
        </w:rPr>
        <w:fldChar w:fldCharType="end"/>
      </w:r>
      <w:r>
        <w:rPr>
          <w:lang w:val="fr-FR"/>
        </w:rPr>
        <w:t>.  </w:t>
      </w:r>
      <w:r w:rsidRPr="00D26D31">
        <w:rPr>
          <w:lang w:val="fr-FR"/>
        </w:rPr>
        <w:t>L</w:t>
      </w:r>
      <w:r w:rsidR="00603708">
        <w:rPr>
          <w:lang w:val="fr-FR"/>
        </w:rPr>
        <w:t>’</w:t>
      </w:r>
      <w:r w:rsidRPr="00D26D31">
        <w:rPr>
          <w:lang w:val="fr-FR"/>
        </w:rPr>
        <w:t>article 39 du code pénal (CP) distingue les infractions pénales suivant deux catégories : les délits (</w:t>
      </w:r>
      <w:r w:rsidRPr="00D26D31">
        <w:rPr>
          <w:i/>
          <w:lang w:val="fr-FR"/>
        </w:rPr>
        <w:t>delitti</w:t>
      </w:r>
      <w:r w:rsidRPr="00D26D31">
        <w:rPr>
          <w:lang w:val="fr-FR"/>
        </w:rPr>
        <w:t>) et les contraventions (</w:t>
      </w:r>
      <w:r w:rsidRPr="00D26D31">
        <w:rPr>
          <w:i/>
          <w:lang w:val="fr-FR"/>
        </w:rPr>
        <w:t>contravvenzioni</w:t>
      </w:r>
      <w:r w:rsidRPr="00D26D31">
        <w:rPr>
          <w:lang w:val="fr-FR"/>
        </w:rPr>
        <w:t>).</w:t>
      </w:r>
    </w:p>
    <w:p w:rsidR="00603708" w:rsidRDefault="003252ED" w:rsidP="003252ED">
      <w:pPr>
        <w:pStyle w:val="ECHRHeading3"/>
        <w:rPr>
          <w:lang w:val="fr-FR"/>
        </w:rPr>
      </w:pPr>
      <w:r>
        <w:rPr>
          <w:lang w:val="fr-FR"/>
        </w:rPr>
        <w:t>1.</w:t>
      </w:r>
      <w:r w:rsidR="00ED0933">
        <w:rPr>
          <w:lang w:val="fr-FR"/>
        </w:rPr>
        <w:t>  </w:t>
      </w:r>
      <w:r>
        <w:rPr>
          <w:lang w:val="fr-FR"/>
        </w:rPr>
        <w:t>Les chefs d</w:t>
      </w:r>
      <w:r w:rsidR="00603708">
        <w:rPr>
          <w:lang w:val="fr-FR"/>
        </w:rPr>
        <w:t>’</w:t>
      </w:r>
      <w:r>
        <w:rPr>
          <w:lang w:val="fr-FR"/>
        </w:rPr>
        <w:t xml:space="preserve">inculpation retenus </w:t>
      </w:r>
      <w:r w:rsidRPr="00730D47">
        <w:rPr>
          <w:lang w:val="fr-FR"/>
        </w:rPr>
        <w:t>relativement aux événements de l</w:t>
      </w:r>
      <w:r w:rsidR="00603708">
        <w:rPr>
          <w:lang w:val="fr-FR"/>
        </w:rPr>
        <w:t>’</w:t>
      </w:r>
      <w:r w:rsidRPr="00730D47">
        <w:rPr>
          <w:lang w:val="fr-FR"/>
        </w:rPr>
        <w:t>école Diaz-Pertini</w:t>
      </w:r>
      <w:r w:rsidR="00544D29">
        <w:rPr>
          <w:lang w:val="fr-FR"/>
        </w:rPr>
        <w:t xml:space="preserve"> et les dispositions pertinent</w:t>
      </w:r>
      <w:r w:rsidR="00483D52">
        <w:rPr>
          <w:lang w:val="fr-FR"/>
        </w:rPr>
        <w:t>es</w:t>
      </w:r>
      <w:r w:rsidR="00544D29">
        <w:rPr>
          <w:lang w:val="fr-FR"/>
        </w:rPr>
        <w:t xml:space="preserve"> aux fins de la détermination des peines</w:t>
      </w:r>
    </w:p>
    <w:p w:rsidR="00525C0F" w:rsidRDefault="00FB6639" w:rsidP="00FB663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88</w:t>
      </w:r>
      <w:r>
        <w:rPr>
          <w:lang w:val="fr-FR"/>
        </w:rPr>
        <w:fldChar w:fldCharType="end"/>
      </w:r>
      <w:r>
        <w:rPr>
          <w:lang w:val="fr-FR"/>
        </w:rPr>
        <w:t>.  </w:t>
      </w:r>
      <w:r w:rsidR="002F29C3">
        <w:rPr>
          <w:lang w:val="fr-FR"/>
        </w:rPr>
        <w:t>D</w:t>
      </w:r>
      <w:r w:rsidR="00603708">
        <w:rPr>
          <w:lang w:val="fr-FR"/>
        </w:rPr>
        <w:t>’</w:t>
      </w:r>
      <w:r w:rsidR="002F29C3">
        <w:rPr>
          <w:lang w:val="fr-FR"/>
        </w:rPr>
        <w:t>après l</w:t>
      </w:r>
      <w:r w:rsidR="00603708">
        <w:rPr>
          <w:lang w:val="fr-FR"/>
        </w:rPr>
        <w:t>’</w:t>
      </w:r>
      <w:r w:rsidR="002F29C3">
        <w:rPr>
          <w:lang w:val="fr-FR"/>
        </w:rPr>
        <w:t>article 323 du</w:t>
      </w:r>
      <w:r w:rsidR="00483D52">
        <w:rPr>
          <w:lang w:val="fr-FR"/>
        </w:rPr>
        <w:t xml:space="preserve"> </w:t>
      </w:r>
      <w:r w:rsidR="002F29C3" w:rsidRPr="00D26D31">
        <w:rPr>
          <w:lang w:val="fr-FR"/>
        </w:rPr>
        <w:t>CP</w:t>
      </w:r>
      <w:r w:rsidR="002F29C3">
        <w:rPr>
          <w:lang w:val="fr-FR"/>
        </w:rPr>
        <w:t>, l</w:t>
      </w:r>
      <w:r w:rsidR="00603708">
        <w:rPr>
          <w:lang w:val="fr-FR"/>
        </w:rPr>
        <w:t>’</w:t>
      </w:r>
      <w:r w:rsidR="002F29C3" w:rsidRPr="002F29C3">
        <w:rPr>
          <w:lang w:val="fr-FR"/>
        </w:rPr>
        <w:t>officier public ou la personne chargée d</w:t>
      </w:r>
      <w:r w:rsidR="00603708">
        <w:rPr>
          <w:lang w:val="fr-FR"/>
        </w:rPr>
        <w:t>’</w:t>
      </w:r>
      <w:r w:rsidR="002F29C3" w:rsidRPr="002F29C3">
        <w:rPr>
          <w:lang w:val="fr-FR"/>
        </w:rPr>
        <w:t>un service public qui, dans l</w:t>
      </w:r>
      <w:r w:rsidR="00603708">
        <w:rPr>
          <w:lang w:val="fr-FR"/>
        </w:rPr>
        <w:t>’</w:t>
      </w:r>
      <w:r w:rsidR="002F29C3" w:rsidRPr="002F29C3">
        <w:rPr>
          <w:lang w:val="fr-FR"/>
        </w:rPr>
        <w:t xml:space="preserve">accomplissement de ses fonctions ou de son service, de manière intentionnelle et en violation de dispositions légales ou réglementaires, </w:t>
      </w:r>
      <w:r w:rsidR="00483D52">
        <w:rPr>
          <w:lang w:val="fr-FR"/>
        </w:rPr>
        <w:t xml:space="preserve">se </w:t>
      </w:r>
      <w:r w:rsidR="002F29C3" w:rsidRPr="002F29C3">
        <w:rPr>
          <w:lang w:val="fr-FR"/>
        </w:rPr>
        <w:t xml:space="preserve">procure ou </w:t>
      </w:r>
      <w:r w:rsidR="00483D52">
        <w:rPr>
          <w:lang w:val="fr-FR"/>
        </w:rPr>
        <w:t xml:space="preserve">procure </w:t>
      </w:r>
      <w:r w:rsidR="002F29C3" w:rsidRPr="002F29C3">
        <w:rPr>
          <w:lang w:val="fr-FR"/>
        </w:rPr>
        <w:t>à d</w:t>
      </w:r>
      <w:r w:rsidR="00603708">
        <w:rPr>
          <w:lang w:val="fr-FR"/>
        </w:rPr>
        <w:t>’</w:t>
      </w:r>
      <w:r w:rsidR="002F29C3" w:rsidRPr="002F29C3">
        <w:rPr>
          <w:lang w:val="fr-FR"/>
        </w:rPr>
        <w:t>autres un avantage patrimonial injuste ou cause à autrui un préjudice injuste</w:t>
      </w:r>
      <w:r w:rsidR="002F29C3">
        <w:rPr>
          <w:lang w:val="fr-FR"/>
        </w:rPr>
        <w:t xml:space="preserve"> (</w:t>
      </w:r>
      <w:r w:rsidR="005F20ED">
        <w:rPr>
          <w:lang w:val="fr-FR"/>
        </w:rPr>
        <w:t>délit d</w:t>
      </w:r>
      <w:r w:rsidR="00603708">
        <w:rPr>
          <w:lang w:val="fr-FR"/>
        </w:rPr>
        <w:t>’</w:t>
      </w:r>
      <w:r w:rsidR="002F29C3">
        <w:rPr>
          <w:lang w:val="fr-FR"/>
        </w:rPr>
        <w:t>abus d</w:t>
      </w:r>
      <w:r w:rsidR="00603708">
        <w:rPr>
          <w:lang w:val="fr-FR"/>
        </w:rPr>
        <w:t>’</w:t>
      </w:r>
      <w:r w:rsidR="002F29C3">
        <w:rPr>
          <w:lang w:val="fr-FR"/>
        </w:rPr>
        <w:t>autorité publique)</w:t>
      </w:r>
      <w:r w:rsidR="002F29C3" w:rsidRPr="002F29C3">
        <w:rPr>
          <w:lang w:val="fr-FR"/>
        </w:rPr>
        <w:t xml:space="preserve"> est puni d</w:t>
      </w:r>
      <w:r w:rsidR="00603708">
        <w:rPr>
          <w:lang w:val="fr-FR"/>
        </w:rPr>
        <w:t>’</w:t>
      </w:r>
      <w:r w:rsidR="002F29C3" w:rsidRPr="002F29C3">
        <w:rPr>
          <w:lang w:val="fr-FR"/>
        </w:rPr>
        <w:t xml:space="preserve">une peine </w:t>
      </w:r>
      <w:r w:rsidR="003F7C69">
        <w:rPr>
          <w:lang w:val="fr-FR"/>
        </w:rPr>
        <w:t>d</w:t>
      </w:r>
      <w:r w:rsidR="00603708">
        <w:rPr>
          <w:lang w:val="fr-FR"/>
        </w:rPr>
        <w:t>’</w:t>
      </w:r>
      <w:r w:rsidR="003F7C69">
        <w:rPr>
          <w:lang w:val="fr-FR"/>
        </w:rPr>
        <w:t>emprisonnement</w:t>
      </w:r>
      <w:r w:rsidR="002F29C3" w:rsidRPr="002F29C3">
        <w:rPr>
          <w:lang w:val="fr-FR"/>
        </w:rPr>
        <w:t xml:space="preserve"> de six mois à </w:t>
      </w:r>
      <w:r w:rsidR="003F7C69" w:rsidRPr="002F29C3">
        <w:rPr>
          <w:lang w:val="fr-FR"/>
        </w:rPr>
        <w:t>trois</w:t>
      </w:r>
      <w:r w:rsidR="003F7C69">
        <w:rPr>
          <w:lang w:val="fr-FR"/>
        </w:rPr>
        <w:t> </w:t>
      </w:r>
      <w:r w:rsidR="002F29C3" w:rsidRPr="002F29C3">
        <w:rPr>
          <w:lang w:val="fr-FR"/>
        </w:rPr>
        <w:t>ans.</w:t>
      </w:r>
    </w:p>
    <w:p w:rsidR="002F29C3" w:rsidRPr="002F29C3" w:rsidRDefault="002F29C3" w:rsidP="00B86AEF">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89</w:t>
      </w:r>
      <w:r>
        <w:rPr>
          <w:lang w:val="fr-FR"/>
        </w:rPr>
        <w:fldChar w:fldCharType="end"/>
      </w:r>
      <w:r>
        <w:rPr>
          <w:lang w:val="fr-FR"/>
        </w:rPr>
        <w:t>.  Selon l</w:t>
      </w:r>
      <w:r w:rsidR="00603708">
        <w:rPr>
          <w:lang w:val="fr-FR"/>
        </w:rPr>
        <w:t>’</w:t>
      </w:r>
      <w:r>
        <w:rPr>
          <w:lang w:val="fr-FR"/>
        </w:rPr>
        <w:t xml:space="preserve">article 368 </w:t>
      </w:r>
      <w:r w:rsidR="00483D52">
        <w:rPr>
          <w:lang w:val="fr-FR"/>
        </w:rPr>
        <w:t xml:space="preserve">§§ 1 et 2 </w:t>
      </w:r>
      <w:r>
        <w:rPr>
          <w:lang w:val="fr-FR"/>
        </w:rPr>
        <w:t>du CP</w:t>
      </w:r>
      <w:r w:rsidR="005F20ED">
        <w:rPr>
          <w:lang w:val="fr-FR"/>
        </w:rPr>
        <w:t>,</w:t>
      </w:r>
      <w:r>
        <w:rPr>
          <w:lang w:val="fr-FR"/>
        </w:rPr>
        <w:t xml:space="preserve"> </w:t>
      </w:r>
      <w:r w:rsidR="00F95EB5">
        <w:rPr>
          <w:lang w:val="fr-FR"/>
        </w:rPr>
        <w:t>toute personne qui</w:t>
      </w:r>
      <w:r w:rsidR="00132408">
        <w:rPr>
          <w:lang w:val="fr-FR"/>
        </w:rPr>
        <w:t xml:space="preserve">, </w:t>
      </w:r>
      <w:r w:rsidR="00483D52">
        <w:rPr>
          <w:lang w:val="fr-FR"/>
        </w:rPr>
        <w:t>par le biais</w:t>
      </w:r>
      <w:r w:rsidR="00132408">
        <w:rPr>
          <w:lang w:val="fr-FR"/>
        </w:rPr>
        <w:t xml:space="preserve"> d</w:t>
      </w:r>
      <w:r w:rsidR="00603708">
        <w:rPr>
          <w:lang w:val="fr-FR"/>
        </w:rPr>
        <w:t>’</w:t>
      </w:r>
      <w:r w:rsidR="00132408">
        <w:rPr>
          <w:lang w:val="fr-FR"/>
        </w:rPr>
        <w:t>une d</w:t>
      </w:r>
      <w:r w:rsidR="00B86AEF">
        <w:rPr>
          <w:lang w:val="fr-FR"/>
        </w:rPr>
        <w:t>énonciation</w:t>
      </w:r>
      <w:r w:rsidR="00132408">
        <w:rPr>
          <w:lang w:val="fr-FR"/>
        </w:rPr>
        <w:t xml:space="preserve"> adressée soit à l</w:t>
      </w:r>
      <w:r w:rsidR="00603708">
        <w:rPr>
          <w:lang w:val="fr-FR"/>
        </w:rPr>
        <w:t>’</w:t>
      </w:r>
      <w:r w:rsidR="00B86AEF">
        <w:rPr>
          <w:lang w:val="fr-FR"/>
        </w:rPr>
        <w:t xml:space="preserve">autorité judiciaire soit à toute autre </w:t>
      </w:r>
      <w:r w:rsidR="00132408">
        <w:rPr>
          <w:lang w:val="fr-FR"/>
        </w:rPr>
        <w:t>autorité ayant le devoir de saisir l</w:t>
      </w:r>
      <w:r w:rsidR="00603708">
        <w:rPr>
          <w:lang w:val="fr-FR"/>
        </w:rPr>
        <w:t>’</w:t>
      </w:r>
      <w:r w:rsidR="00132408">
        <w:rPr>
          <w:lang w:val="fr-FR"/>
        </w:rPr>
        <w:t xml:space="preserve">autorité judiciaire, accuse </w:t>
      </w:r>
      <w:r w:rsidR="00F95EB5">
        <w:rPr>
          <w:lang w:val="fr-FR"/>
        </w:rPr>
        <w:t>une personne</w:t>
      </w:r>
      <w:r w:rsidR="00132408">
        <w:rPr>
          <w:lang w:val="fr-FR"/>
        </w:rPr>
        <w:t xml:space="preserve"> d</w:t>
      </w:r>
      <w:r w:rsidR="00603708">
        <w:rPr>
          <w:lang w:val="fr-FR"/>
        </w:rPr>
        <w:t>’</w:t>
      </w:r>
      <w:r w:rsidR="00132408">
        <w:rPr>
          <w:lang w:val="fr-FR"/>
        </w:rPr>
        <w:t xml:space="preserve">avoir commis un délit </w:t>
      </w:r>
      <w:r w:rsidR="00483D52">
        <w:rPr>
          <w:lang w:val="fr-FR"/>
        </w:rPr>
        <w:t xml:space="preserve">tout en </w:t>
      </w:r>
      <w:r w:rsidR="00132408">
        <w:rPr>
          <w:lang w:val="fr-FR"/>
        </w:rPr>
        <w:t>sa</w:t>
      </w:r>
      <w:r w:rsidR="00524A5E">
        <w:rPr>
          <w:lang w:val="fr-FR"/>
        </w:rPr>
        <w:t>chant</w:t>
      </w:r>
      <w:r w:rsidR="00132408">
        <w:rPr>
          <w:lang w:val="fr-FR"/>
        </w:rPr>
        <w:t xml:space="preserve"> que </w:t>
      </w:r>
      <w:r w:rsidR="00F95EB5">
        <w:rPr>
          <w:lang w:val="fr-FR"/>
        </w:rPr>
        <w:t xml:space="preserve">celle-ci </w:t>
      </w:r>
      <w:r w:rsidR="00132408">
        <w:rPr>
          <w:lang w:val="fr-FR"/>
        </w:rPr>
        <w:t xml:space="preserve">est innocente ou fabrique des indices à la charge de celle-ci </w:t>
      </w:r>
      <w:r>
        <w:rPr>
          <w:lang w:val="fr-FR"/>
        </w:rPr>
        <w:t xml:space="preserve">est puni </w:t>
      </w:r>
      <w:r w:rsidR="00132408">
        <w:rPr>
          <w:lang w:val="fr-FR"/>
        </w:rPr>
        <w:t>d</w:t>
      </w:r>
      <w:r w:rsidR="00603708">
        <w:rPr>
          <w:lang w:val="fr-FR"/>
        </w:rPr>
        <w:t>’</w:t>
      </w:r>
      <w:r w:rsidR="00132408">
        <w:rPr>
          <w:lang w:val="fr-FR"/>
        </w:rPr>
        <w:t xml:space="preserve">une peine </w:t>
      </w:r>
      <w:r w:rsidR="003F7C69">
        <w:rPr>
          <w:lang w:val="fr-FR"/>
        </w:rPr>
        <w:t>d</w:t>
      </w:r>
      <w:r w:rsidR="00603708">
        <w:rPr>
          <w:lang w:val="fr-FR"/>
        </w:rPr>
        <w:t>’</w:t>
      </w:r>
      <w:r w:rsidR="003F7C69">
        <w:rPr>
          <w:lang w:val="fr-FR"/>
        </w:rPr>
        <w:t xml:space="preserve">emprisonnement </w:t>
      </w:r>
      <w:r w:rsidR="00132408">
        <w:rPr>
          <w:lang w:val="fr-FR"/>
        </w:rPr>
        <w:t>de deux à six</w:t>
      </w:r>
      <w:r w:rsidR="00B86AEF">
        <w:rPr>
          <w:lang w:val="fr-FR"/>
        </w:rPr>
        <w:t xml:space="preserve"> ans. L</w:t>
      </w:r>
      <w:r w:rsidR="005F20ED">
        <w:rPr>
          <w:lang w:val="fr-FR"/>
        </w:rPr>
        <w:t>a peine est augmentée si le délit qui constitue l</w:t>
      </w:r>
      <w:r w:rsidR="00603708">
        <w:rPr>
          <w:lang w:val="fr-FR"/>
        </w:rPr>
        <w:t>’</w:t>
      </w:r>
      <w:r w:rsidR="005F20ED">
        <w:rPr>
          <w:lang w:val="fr-FR"/>
        </w:rPr>
        <w:t>objet de la dénonciation calomnieuse est puni d</w:t>
      </w:r>
      <w:r w:rsidR="00603708">
        <w:rPr>
          <w:lang w:val="fr-FR"/>
        </w:rPr>
        <w:t>’</w:t>
      </w:r>
      <w:r w:rsidR="0097094C">
        <w:rPr>
          <w:lang w:val="fr-FR"/>
        </w:rPr>
        <w:t>au moins</w:t>
      </w:r>
      <w:r w:rsidR="005F20ED">
        <w:rPr>
          <w:lang w:val="fr-FR"/>
        </w:rPr>
        <w:t xml:space="preserve"> six ans d</w:t>
      </w:r>
      <w:r w:rsidR="00603708">
        <w:rPr>
          <w:lang w:val="fr-FR"/>
        </w:rPr>
        <w:t>’</w:t>
      </w:r>
      <w:r w:rsidR="005F20ED">
        <w:rPr>
          <w:lang w:val="fr-FR"/>
        </w:rPr>
        <w:t>emprisonnement.</w:t>
      </w:r>
    </w:p>
    <w:p w:rsidR="00FB6639" w:rsidRPr="008D3288" w:rsidRDefault="002F29C3" w:rsidP="00FB663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90</w:t>
      </w:r>
      <w:r>
        <w:rPr>
          <w:lang w:val="fr-FR"/>
        </w:rPr>
        <w:fldChar w:fldCharType="end"/>
      </w:r>
      <w:r>
        <w:rPr>
          <w:lang w:val="fr-FR"/>
        </w:rPr>
        <w:t>.  </w:t>
      </w:r>
      <w:r w:rsidR="0075058E">
        <w:rPr>
          <w:lang w:val="fr-FR"/>
        </w:rPr>
        <w:t>Aux termes de</w:t>
      </w:r>
      <w:r w:rsidR="00525C0F">
        <w:rPr>
          <w:lang w:val="fr-FR"/>
        </w:rPr>
        <w:t xml:space="preserve"> l</w:t>
      </w:r>
      <w:r w:rsidR="00603708">
        <w:rPr>
          <w:lang w:val="fr-FR"/>
        </w:rPr>
        <w:t>’</w:t>
      </w:r>
      <w:r w:rsidR="00525C0F">
        <w:rPr>
          <w:lang w:val="fr-FR"/>
        </w:rPr>
        <w:t xml:space="preserve">article </w:t>
      </w:r>
      <w:r w:rsidR="00BD6D6B">
        <w:rPr>
          <w:lang w:val="fr-FR"/>
        </w:rPr>
        <w:t xml:space="preserve">479 du </w:t>
      </w:r>
      <w:r w:rsidR="00BD6D6B" w:rsidRPr="00D26D31">
        <w:rPr>
          <w:lang w:val="fr-FR"/>
        </w:rPr>
        <w:t>CP</w:t>
      </w:r>
      <w:r w:rsidR="00BD6D6B">
        <w:rPr>
          <w:lang w:val="fr-FR"/>
        </w:rPr>
        <w:t>,</w:t>
      </w:r>
      <w:r w:rsidR="0075058E">
        <w:rPr>
          <w:lang w:val="fr-FR"/>
        </w:rPr>
        <w:t xml:space="preserve"> </w:t>
      </w:r>
      <w:r w:rsidR="00BD6D6B">
        <w:rPr>
          <w:lang w:val="fr-FR"/>
        </w:rPr>
        <w:t>l</w:t>
      </w:r>
      <w:r w:rsidR="00603708">
        <w:rPr>
          <w:lang w:val="fr-FR"/>
        </w:rPr>
        <w:t>’</w:t>
      </w:r>
      <w:r w:rsidR="00BD6D6B" w:rsidRPr="00BD6D6B">
        <w:rPr>
          <w:lang w:val="fr-FR"/>
        </w:rPr>
        <w:t xml:space="preserve">officier public ou </w:t>
      </w:r>
      <w:r w:rsidR="00483D52">
        <w:rPr>
          <w:lang w:val="fr-FR"/>
        </w:rPr>
        <w:t>l</w:t>
      </w:r>
      <w:r w:rsidR="00603708">
        <w:rPr>
          <w:lang w:val="fr-FR"/>
        </w:rPr>
        <w:t>’</w:t>
      </w:r>
      <w:r w:rsidR="00483D52">
        <w:rPr>
          <w:lang w:val="fr-FR"/>
        </w:rPr>
        <w:t>individu</w:t>
      </w:r>
      <w:r w:rsidR="00BD6D6B" w:rsidRPr="00BD6D6B">
        <w:rPr>
          <w:lang w:val="fr-FR"/>
        </w:rPr>
        <w:t xml:space="preserve"> </w:t>
      </w:r>
      <w:r w:rsidR="00BD6D6B" w:rsidRPr="002861E3">
        <w:rPr>
          <w:lang w:val="fr-FR"/>
        </w:rPr>
        <w:t>chargé d</w:t>
      </w:r>
      <w:r w:rsidR="00603708">
        <w:rPr>
          <w:lang w:val="fr-FR"/>
        </w:rPr>
        <w:t>’</w:t>
      </w:r>
      <w:r w:rsidR="00BD6D6B" w:rsidRPr="002861E3">
        <w:rPr>
          <w:lang w:val="fr-FR"/>
        </w:rPr>
        <w:t>un service public</w:t>
      </w:r>
      <w:r w:rsidR="0075058E" w:rsidRPr="002861E3">
        <w:rPr>
          <w:lang w:val="fr-FR"/>
        </w:rPr>
        <w:t xml:space="preserve"> qui</w:t>
      </w:r>
      <w:r w:rsidR="00D506AF" w:rsidRPr="002861E3">
        <w:rPr>
          <w:lang w:val="fr-FR"/>
        </w:rPr>
        <w:t xml:space="preserve">, </w:t>
      </w:r>
      <w:r w:rsidR="0097094C" w:rsidRPr="002861E3">
        <w:rPr>
          <w:lang w:val="fr-FR"/>
        </w:rPr>
        <w:t xml:space="preserve">en </w:t>
      </w:r>
      <w:r w:rsidR="00D506AF" w:rsidRPr="002861E3">
        <w:rPr>
          <w:lang w:val="fr-FR"/>
        </w:rPr>
        <w:t xml:space="preserve">recevant ou </w:t>
      </w:r>
      <w:r w:rsidR="0097094C" w:rsidRPr="002861E3">
        <w:rPr>
          <w:lang w:val="fr-FR"/>
        </w:rPr>
        <w:t xml:space="preserve">en </w:t>
      </w:r>
      <w:r w:rsidR="0097094C">
        <w:rPr>
          <w:lang w:val="fr-FR"/>
        </w:rPr>
        <w:t>produis</w:t>
      </w:r>
      <w:r w:rsidR="0097094C" w:rsidRPr="002861E3">
        <w:rPr>
          <w:lang w:val="fr-FR"/>
        </w:rPr>
        <w:t xml:space="preserve">ant </w:t>
      </w:r>
      <w:r w:rsidR="00D506AF" w:rsidRPr="002861E3">
        <w:rPr>
          <w:lang w:val="fr-FR"/>
        </w:rPr>
        <w:t>un document</w:t>
      </w:r>
      <w:r w:rsidR="00D506AF">
        <w:rPr>
          <w:lang w:val="fr-FR"/>
        </w:rPr>
        <w:t xml:space="preserve"> dans l</w:t>
      </w:r>
      <w:r w:rsidR="00603708">
        <w:rPr>
          <w:lang w:val="fr-FR"/>
        </w:rPr>
        <w:t>’</w:t>
      </w:r>
      <w:r w:rsidR="00D506AF">
        <w:rPr>
          <w:lang w:val="fr-FR"/>
        </w:rPr>
        <w:t>exercice de ses fonctions,</w:t>
      </w:r>
      <w:r w:rsidR="00BD6D6B">
        <w:rPr>
          <w:lang w:val="fr-FR"/>
        </w:rPr>
        <w:t xml:space="preserve"> </w:t>
      </w:r>
      <w:r w:rsidR="00D506AF">
        <w:rPr>
          <w:lang w:val="fr-FR"/>
        </w:rPr>
        <w:t xml:space="preserve">atteste </w:t>
      </w:r>
      <w:r w:rsidR="0097094C">
        <w:rPr>
          <w:lang w:val="fr-FR"/>
        </w:rPr>
        <w:t xml:space="preserve">à tort </w:t>
      </w:r>
      <w:r w:rsidR="00D506AF">
        <w:rPr>
          <w:lang w:val="fr-FR"/>
        </w:rPr>
        <w:t>l</w:t>
      </w:r>
      <w:r w:rsidR="00603708">
        <w:rPr>
          <w:lang w:val="fr-FR"/>
        </w:rPr>
        <w:t>’</w:t>
      </w:r>
      <w:r w:rsidR="00D506AF">
        <w:rPr>
          <w:lang w:val="fr-FR"/>
        </w:rPr>
        <w:t xml:space="preserve">existence matérielle des faits </w:t>
      </w:r>
      <w:r w:rsidR="0097094C">
        <w:rPr>
          <w:lang w:val="fr-FR"/>
        </w:rPr>
        <w:t>exposés</w:t>
      </w:r>
      <w:r w:rsidR="00D506AF">
        <w:rPr>
          <w:lang w:val="fr-FR"/>
        </w:rPr>
        <w:t xml:space="preserve"> comme ayant </w:t>
      </w:r>
      <w:r w:rsidR="0097094C">
        <w:rPr>
          <w:lang w:val="fr-FR"/>
        </w:rPr>
        <w:t xml:space="preserve">été </w:t>
      </w:r>
      <w:r w:rsidR="00D506AF">
        <w:rPr>
          <w:lang w:val="fr-FR"/>
        </w:rPr>
        <w:t xml:space="preserve">accomplis </w:t>
      </w:r>
      <w:r w:rsidR="0097094C">
        <w:rPr>
          <w:lang w:val="fr-FR"/>
        </w:rPr>
        <w:t xml:space="preserve">par </w:t>
      </w:r>
      <w:r w:rsidR="00D506AF">
        <w:rPr>
          <w:lang w:val="fr-FR"/>
        </w:rPr>
        <w:t>lui-même ou comme s</w:t>
      </w:r>
      <w:r w:rsidR="00603708">
        <w:rPr>
          <w:lang w:val="fr-FR"/>
        </w:rPr>
        <w:t>’</w:t>
      </w:r>
      <w:r w:rsidR="00D506AF">
        <w:rPr>
          <w:lang w:val="fr-FR"/>
        </w:rPr>
        <w:t xml:space="preserve">étant passés </w:t>
      </w:r>
      <w:r w:rsidR="00D506AF" w:rsidRPr="008D3288">
        <w:rPr>
          <w:lang w:val="fr-FR"/>
        </w:rPr>
        <w:t>en sa présence</w:t>
      </w:r>
      <w:r w:rsidR="00525C0F" w:rsidRPr="008D3288">
        <w:rPr>
          <w:lang w:val="fr-FR"/>
        </w:rPr>
        <w:t xml:space="preserve"> ou </w:t>
      </w:r>
      <w:r w:rsidR="0097094C" w:rsidRPr="008D3288">
        <w:rPr>
          <w:lang w:val="fr-FR"/>
        </w:rPr>
        <w:t xml:space="preserve">qui </w:t>
      </w:r>
      <w:r w:rsidR="00525C0F" w:rsidRPr="008D3288">
        <w:rPr>
          <w:lang w:val="fr-FR"/>
        </w:rPr>
        <w:t>altère autrement la présentation des faits</w:t>
      </w:r>
      <w:r w:rsidR="00D506AF" w:rsidRPr="008D3288">
        <w:rPr>
          <w:lang w:val="fr-FR"/>
        </w:rPr>
        <w:t xml:space="preserve"> </w:t>
      </w:r>
      <w:r w:rsidR="00525C0F" w:rsidRPr="008D3288">
        <w:rPr>
          <w:lang w:val="fr-FR"/>
        </w:rPr>
        <w:t xml:space="preserve">dont le document </w:t>
      </w:r>
      <w:r w:rsidR="0097094C" w:rsidRPr="008D3288">
        <w:rPr>
          <w:lang w:val="fr-FR"/>
        </w:rPr>
        <w:t xml:space="preserve">vise à </w:t>
      </w:r>
      <w:r w:rsidR="00D506AF" w:rsidRPr="008D3288">
        <w:rPr>
          <w:iCs/>
          <w:lang w:val="fr-FR"/>
        </w:rPr>
        <w:t xml:space="preserve">établir la preuve </w:t>
      </w:r>
      <w:r w:rsidR="00D506AF" w:rsidRPr="008D3288">
        <w:rPr>
          <w:lang w:val="fr-FR"/>
        </w:rPr>
        <w:t xml:space="preserve">(faux intellectuel en écritures) </w:t>
      </w:r>
      <w:r w:rsidR="00755AD9" w:rsidRPr="008D3288">
        <w:rPr>
          <w:lang w:val="fr-FR"/>
        </w:rPr>
        <w:t>est puni d</w:t>
      </w:r>
      <w:r w:rsidR="00603708">
        <w:rPr>
          <w:lang w:val="fr-FR"/>
        </w:rPr>
        <w:t>’</w:t>
      </w:r>
      <w:r w:rsidR="00755AD9" w:rsidRPr="008D3288">
        <w:rPr>
          <w:lang w:val="fr-FR"/>
        </w:rPr>
        <w:t xml:space="preserve">une peine </w:t>
      </w:r>
      <w:r w:rsidR="003F7C69" w:rsidRPr="008D3288">
        <w:rPr>
          <w:lang w:val="fr-FR"/>
        </w:rPr>
        <w:t>d</w:t>
      </w:r>
      <w:r w:rsidR="00603708">
        <w:rPr>
          <w:lang w:val="fr-FR"/>
        </w:rPr>
        <w:t>’</w:t>
      </w:r>
      <w:r w:rsidR="003F7C69" w:rsidRPr="008D3288">
        <w:rPr>
          <w:lang w:val="fr-FR"/>
        </w:rPr>
        <w:t>emprisonnement</w:t>
      </w:r>
      <w:r w:rsidR="00755AD9" w:rsidRPr="008D3288">
        <w:rPr>
          <w:lang w:val="fr-FR"/>
        </w:rPr>
        <w:t xml:space="preserve"> d</w:t>
      </w:r>
      <w:r w:rsidR="00603708">
        <w:rPr>
          <w:lang w:val="fr-FR"/>
        </w:rPr>
        <w:t>’</w:t>
      </w:r>
      <w:r w:rsidR="00755AD9" w:rsidRPr="008D3288">
        <w:rPr>
          <w:lang w:val="fr-FR"/>
        </w:rPr>
        <w:t xml:space="preserve">un </w:t>
      </w:r>
      <w:r w:rsidR="00483D52" w:rsidRPr="008D3288">
        <w:rPr>
          <w:lang w:val="fr-FR"/>
        </w:rPr>
        <w:t xml:space="preserve">an </w:t>
      </w:r>
      <w:r w:rsidR="00755AD9" w:rsidRPr="008D3288">
        <w:rPr>
          <w:lang w:val="fr-FR"/>
        </w:rPr>
        <w:t xml:space="preserve">à six ans ou, si le document </w:t>
      </w:r>
      <w:r w:rsidR="00082DDE">
        <w:rPr>
          <w:lang w:val="fr-FR"/>
        </w:rPr>
        <w:t xml:space="preserve">a </w:t>
      </w:r>
      <w:r w:rsidR="00082DDE" w:rsidRPr="000B5793">
        <w:rPr>
          <w:lang w:val="fr-FR"/>
        </w:rPr>
        <w:t>fait foi</w:t>
      </w:r>
      <w:r w:rsidR="00755AD9" w:rsidRPr="008D3288">
        <w:rPr>
          <w:lang w:val="fr-FR"/>
        </w:rPr>
        <w:t xml:space="preserve"> </w:t>
      </w:r>
      <w:r w:rsidR="00525C0F" w:rsidRPr="008D3288">
        <w:rPr>
          <w:lang w:val="fr-FR"/>
        </w:rPr>
        <w:t>jusqu</w:t>
      </w:r>
      <w:r w:rsidR="00603708">
        <w:rPr>
          <w:lang w:val="fr-FR"/>
        </w:rPr>
        <w:t>’</w:t>
      </w:r>
      <w:r w:rsidR="00525C0F" w:rsidRPr="008D3288">
        <w:rPr>
          <w:lang w:val="fr-FR"/>
        </w:rPr>
        <w:t xml:space="preserve">à </w:t>
      </w:r>
      <w:r w:rsidR="00755AD9" w:rsidRPr="008D3288">
        <w:rPr>
          <w:lang w:val="fr-FR"/>
        </w:rPr>
        <w:t>inscription de faux, de trois à dix ans.</w:t>
      </w:r>
    </w:p>
    <w:p w:rsidR="0032468C" w:rsidRPr="008D3288" w:rsidRDefault="00525C0F" w:rsidP="00FB6639">
      <w:pPr>
        <w:pStyle w:val="ECHRPara"/>
        <w:rPr>
          <w:lang w:val="fr-FR"/>
        </w:rPr>
      </w:pPr>
      <w:r w:rsidRPr="008D3288">
        <w:rPr>
          <w:lang w:val="fr-FR"/>
        </w:rPr>
        <w:fldChar w:fldCharType="begin"/>
      </w:r>
      <w:r w:rsidRPr="008D3288">
        <w:rPr>
          <w:lang w:val="fr-FR"/>
        </w:rPr>
        <w:instrText xml:space="preserve"> SEQ level0 \*arabic </w:instrText>
      </w:r>
      <w:r w:rsidRPr="008D3288">
        <w:rPr>
          <w:lang w:val="fr-FR"/>
        </w:rPr>
        <w:fldChar w:fldCharType="separate"/>
      </w:r>
      <w:r w:rsidR="00B378F9">
        <w:rPr>
          <w:noProof/>
          <w:lang w:val="fr-FR"/>
        </w:rPr>
        <w:t>91</w:t>
      </w:r>
      <w:r w:rsidRPr="008D3288">
        <w:rPr>
          <w:lang w:val="fr-FR"/>
        </w:rPr>
        <w:fldChar w:fldCharType="end"/>
      </w:r>
      <w:r w:rsidRPr="008D3288">
        <w:rPr>
          <w:lang w:val="fr-FR"/>
        </w:rPr>
        <w:t>.  </w:t>
      </w:r>
      <w:r w:rsidR="001C095F" w:rsidRPr="008D3288">
        <w:rPr>
          <w:lang w:val="fr-FR"/>
        </w:rPr>
        <w:t>L</w:t>
      </w:r>
      <w:r w:rsidR="00603708">
        <w:rPr>
          <w:lang w:val="fr-FR"/>
        </w:rPr>
        <w:t>’</w:t>
      </w:r>
      <w:r w:rsidR="001C095F" w:rsidRPr="008D3288">
        <w:rPr>
          <w:lang w:val="fr-FR"/>
        </w:rPr>
        <w:t xml:space="preserve">article 582 du CP </w:t>
      </w:r>
      <w:r w:rsidR="00802AC1" w:rsidRPr="008D3288">
        <w:rPr>
          <w:lang w:val="fr-FR"/>
        </w:rPr>
        <w:t xml:space="preserve">établit que </w:t>
      </w:r>
      <w:r w:rsidR="00F95EB5" w:rsidRPr="008D3288">
        <w:rPr>
          <w:lang w:val="fr-FR"/>
        </w:rPr>
        <w:t>toute personne qui</w:t>
      </w:r>
      <w:r w:rsidR="00802AC1" w:rsidRPr="008D3288">
        <w:rPr>
          <w:lang w:val="fr-FR"/>
        </w:rPr>
        <w:t xml:space="preserve"> cause à</w:t>
      </w:r>
      <w:r w:rsidR="00524A5E" w:rsidRPr="008D3288">
        <w:rPr>
          <w:lang w:val="fr-FR"/>
        </w:rPr>
        <w:t xml:space="preserve"> autrui</w:t>
      </w:r>
      <w:r w:rsidR="00802AC1" w:rsidRPr="008D3288">
        <w:rPr>
          <w:lang w:val="fr-FR"/>
        </w:rPr>
        <w:t xml:space="preserve"> une lésion ayant entra</w:t>
      </w:r>
      <w:r w:rsidR="00483D52" w:rsidRPr="008D3288">
        <w:rPr>
          <w:lang w:val="fr-FR"/>
        </w:rPr>
        <w:t>î</w:t>
      </w:r>
      <w:r w:rsidR="00802AC1" w:rsidRPr="008D3288">
        <w:rPr>
          <w:lang w:val="fr-FR"/>
        </w:rPr>
        <w:t>né une infirmité physique ou mentale est puni</w:t>
      </w:r>
      <w:r w:rsidR="00F25DBF">
        <w:rPr>
          <w:lang w:val="fr-FR"/>
        </w:rPr>
        <w:t>e</w:t>
      </w:r>
      <w:r w:rsidR="00802AC1" w:rsidRPr="008D3288">
        <w:rPr>
          <w:lang w:val="fr-FR"/>
        </w:rPr>
        <w:t xml:space="preserve"> de </w:t>
      </w:r>
      <w:r w:rsidR="001C095F" w:rsidRPr="008D3288">
        <w:rPr>
          <w:lang w:val="fr-FR"/>
        </w:rPr>
        <w:t>trois mois à dix ans</w:t>
      </w:r>
      <w:r w:rsidR="00802AC1" w:rsidRPr="008D3288">
        <w:rPr>
          <w:lang w:val="fr-FR"/>
        </w:rPr>
        <w:t xml:space="preserve"> d</w:t>
      </w:r>
      <w:r w:rsidR="00603708">
        <w:rPr>
          <w:lang w:val="fr-FR"/>
        </w:rPr>
        <w:t>’</w:t>
      </w:r>
      <w:r w:rsidR="00802AC1" w:rsidRPr="008D3288">
        <w:rPr>
          <w:lang w:val="fr-FR"/>
        </w:rPr>
        <w:t>emprisonnement</w:t>
      </w:r>
      <w:r w:rsidR="001C095F" w:rsidRPr="008D3288">
        <w:rPr>
          <w:lang w:val="fr-FR"/>
        </w:rPr>
        <w:t>.</w:t>
      </w:r>
    </w:p>
    <w:p w:rsidR="0032468C" w:rsidRDefault="00802AC1" w:rsidP="00FB6639">
      <w:pPr>
        <w:pStyle w:val="ECHRPara"/>
        <w:rPr>
          <w:lang w:val="fr-FR"/>
        </w:rPr>
      </w:pPr>
      <w:r w:rsidRPr="008D3288">
        <w:rPr>
          <w:lang w:val="fr-FR"/>
        </w:rPr>
        <w:t>Aux termes de l</w:t>
      </w:r>
      <w:r w:rsidR="00603708">
        <w:rPr>
          <w:lang w:val="fr-FR"/>
        </w:rPr>
        <w:t>’</w:t>
      </w:r>
      <w:r w:rsidRPr="008D3288">
        <w:rPr>
          <w:lang w:val="fr-FR"/>
        </w:rPr>
        <w:t>article 583</w:t>
      </w:r>
      <w:r w:rsidR="00483D52" w:rsidRPr="008D3288">
        <w:rPr>
          <w:lang w:val="fr-FR"/>
        </w:rPr>
        <w:t xml:space="preserve"> du CP</w:t>
      </w:r>
      <w:r w:rsidRPr="008D3288">
        <w:rPr>
          <w:lang w:val="fr-FR"/>
        </w:rPr>
        <w:t xml:space="preserve">, la lésion est considérée </w:t>
      </w:r>
      <w:r w:rsidR="00483D52" w:rsidRPr="008D3288">
        <w:rPr>
          <w:lang w:val="fr-FR"/>
        </w:rPr>
        <w:t>comme</w:t>
      </w:r>
      <w:r w:rsidR="00483D52">
        <w:rPr>
          <w:lang w:val="fr-FR"/>
        </w:rPr>
        <w:t xml:space="preserve"> </w:t>
      </w:r>
      <w:r w:rsidR="008A5BBA">
        <w:rPr>
          <w:lang w:val="fr-FR"/>
        </w:rPr>
        <w:t>« </w:t>
      </w:r>
      <w:r>
        <w:rPr>
          <w:lang w:val="fr-FR"/>
        </w:rPr>
        <w:t>grave</w:t>
      </w:r>
      <w:r w:rsidR="008A5BBA">
        <w:rPr>
          <w:lang w:val="fr-FR"/>
        </w:rPr>
        <w:t> »</w:t>
      </w:r>
      <w:r>
        <w:rPr>
          <w:lang w:val="fr-FR"/>
        </w:rPr>
        <w:t xml:space="preserve"> et est punie </w:t>
      </w:r>
      <w:r w:rsidRPr="002F29C3">
        <w:rPr>
          <w:lang w:val="fr-FR"/>
        </w:rPr>
        <w:t>d</w:t>
      </w:r>
      <w:r w:rsidR="00603708">
        <w:rPr>
          <w:lang w:val="fr-FR"/>
        </w:rPr>
        <w:t>’</w:t>
      </w:r>
      <w:r w:rsidRPr="002F29C3">
        <w:rPr>
          <w:lang w:val="fr-FR"/>
        </w:rPr>
        <w:t xml:space="preserve">une peine </w:t>
      </w:r>
      <w:r w:rsidR="003F7C69">
        <w:rPr>
          <w:lang w:val="fr-FR"/>
        </w:rPr>
        <w:t>d</w:t>
      </w:r>
      <w:r w:rsidR="00603708">
        <w:rPr>
          <w:lang w:val="fr-FR"/>
        </w:rPr>
        <w:t>’</w:t>
      </w:r>
      <w:r w:rsidR="003F7C69">
        <w:rPr>
          <w:lang w:val="fr-FR"/>
        </w:rPr>
        <w:t>emprisonnement</w:t>
      </w:r>
      <w:r>
        <w:rPr>
          <w:lang w:val="fr-FR"/>
        </w:rPr>
        <w:t xml:space="preserve"> de </w:t>
      </w:r>
      <w:r w:rsidRPr="002F29C3">
        <w:rPr>
          <w:lang w:val="fr-FR"/>
        </w:rPr>
        <w:t xml:space="preserve">trois </w:t>
      </w:r>
      <w:r>
        <w:rPr>
          <w:lang w:val="fr-FR"/>
        </w:rPr>
        <w:t xml:space="preserve">à sept </w:t>
      </w:r>
      <w:r w:rsidRPr="002F29C3">
        <w:rPr>
          <w:lang w:val="fr-FR"/>
        </w:rPr>
        <w:t>ans</w:t>
      </w:r>
      <w:r>
        <w:rPr>
          <w:lang w:val="fr-FR"/>
        </w:rPr>
        <w:t xml:space="preserve"> si elle entra</w:t>
      </w:r>
      <w:r w:rsidR="00483D52">
        <w:rPr>
          <w:lang w:val="fr-FR"/>
        </w:rPr>
        <w:t>î</w:t>
      </w:r>
      <w:r>
        <w:rPr>
          <w:lang w:val="fr-FR"/>
        </w:rPr>
        <w:t xml:space="preserve">ne, notamment, une infirmité ou une incapacité temporaire </w:t>
      </w:r>
      <w:r w:rsidR="008A5BBA">
        <w:rPr>
          <w:lang w:val="fr-FR"/>
        </w:rPr>
        <w:t>supérieure à</w:t>
      </w:r>
      <w:r>
        <w:rPr>
          <w:lang w:val="fr-FR"/>
        </w:rPr>
        <w:t xml:space="preserve"> quarante jours.</w:t>
      </w:r>
    </w:p>
    <w:p w:rsidR="00DC3849" w:rsidRDefault="005372C7" w:rsidP="00FB6639">
      <w:pPr>
        <w:pStyle w:val="ECHRPara"/>
        <w:rPr>
          <w:lang w:val="fr-FR"/>
        </w:rPr>
      </w:pPr>
      <w:r>
        <w:rPr>
          <w:lang w:val="fr-FR"/>
        </w:rPr>
        <w:t>Selon l</w:t>
      </w:r>
      <w:r w:rsidR="00603708">
        <w:rPr>
          <w:lang w:val="fr-FR"/>
        </w:rPr>
        <w:t>’</w:t>
      </w:r>
      <w:r>
        <w:rPr>
          <w:lang w:val="fr-FR"/>
        </w:rPr>
        <w:t>article 585</w:t>
      </w:r>
      <w:r w:rsidR="00483D52">
        <w:rPr>
          <w:lang w:val="fr-FR"/>
        </w:rPr>
        <w:t xml:space="preserve"> du CP</w:t>
      </w:r>
      <w:r>
        <w:rPr>
          <w:lang w:val="fr-FR"/>
        </w:rPr>
        <w:t xml:space="preserve">, ces peines sont augmentées, </w:t>
      </w:r>
      <w:r w:rsidR="0097094C">
        <w:rPr>
          <w:lang w:val="fr-FR"/>
        </w:rPr>
        <w:t>en particulier</w:t>
      </w:r>
      <w:r>
        <w:rPr>
          <w:lang w:val="fr-FR"/>
        </w:rPr>
        <w:t>, jusqu</w:t>
      </w:r>
      <w:r w:rsidR="00603708">
        <w:rPr>
          <w:lang w:val="fr-FR"/>
        </w:rPr>
        <w:t>’</w:t>
      </w:r>
      <w:r>
        <w:rPr>
          <w:lang w:val="fr-FR"/>
        </w:rPr>
        <w:t>à un tiers en présence des circonstances aggravantes envisagées par l</w:t>
      </w:r>
      <w:r w:rsidR="00603708">
        <w:rPr>
          <w:lang w:val="fr-FR"/>
        </w:rPr>
        <w:t>’</w:t>
      </w:r>
      <w:r>
        <w:rPr>
          <w:lang w:val="fr-FR"/>
        </w:rPr>
        <w:t xml:space="preserve">article 577 </w:t>
      </w:r>
      <w:r w:rsidR="00614529">
        <w:rPr>
          <w:lang w:val="fr-FR"/>
        </w:rPr>
        <w:t xml:space="preserve">du CP </w:t>
      </w:r>
      <w:r>
        <w:rPr>
          <w:lang w:val="fr-FR"/>
        </w:rPr>
        <w:t xml:space="preserve">(par exemple si le délit est </w:t>
      </w:r>
      <w:r w:rsidR="00DC3849">
        <w:rPr>
          <w:lang w:val="fr-FR"/>
        </w:rPr>
        <w:t>commis avec préméditation ou dans une des circonstances aggravantes prévues par l</w:t>
      </w:r>
      <w:r w:rsidR="00603708">
        <w:rPr>
          <w:lang w:val="fr-FR"/>
        </w:rPr>
        <w:t>’</w:t>
      </w:r>
      <w:r w:rsidR="00DC3849">
        <w:rPr>
          <w:lang w:val="fr-FR"/>
        </w:rPr>
        <w:t>article 61, n</w:t>
      </w:r>
      <w:r w:rsidR="00DC3849">
        <w:rPr>
          <w:vertAlign w:val="superscript"/>
          <w:lang w:val="fr-FR"/>
        </w:rPr>
        <w:t xml:space="preserve">os </w:t>
      </w:r>
      <w:r w:rsidR="00DC3849">
        <w:rPr>
          <w:lang w:val="fr-FR"/>
        </w:rPr>
        <w:t xml:space="preserve">1 et 4 </w:t>
      </w:r>
      <w:r w:rsidR="00483D52">
        <w:rPr>
          <w:lang w:val="fr-FR"/>
        </w:rPr>
        <w:t>(</w:t>
      </w:r>
      <w:r w:rsidR="00B86AEF" w:rsidRPr="00AC0DAF">
        <w:rPr>
          <w:lang w:val="fr-FR"/>
        </w:rPr>
        <w:t xml:space="preserve">paragraphe 93 </w:t>
      </w:r>
      <w:r w:rsidR="00DC3849" w:rsidRPr="00AC0DAF">
        <w:rPr>
          <w:lang w:val="fr-FR"/>
        </w:rPr>
        <w:t>ci-après</w:t>
      </w:r>
      <w:r w:rsidR="00DC3849">
        <w:rPr>
          <w:lang w:val="fr-FR"/>
        </w:rPr>
        <w:t>)</w:t>
      </w:r>
      <w:r w:rsidR="00483D52">
        <w:rPr>
          <w:lang w:val="fr-FR"/>
        </w:rPr>
        <w:t>)</w:t>
      </w:r>
      <w:r w:rsidR="00DC3849">
        <w:rPr>
          <w:lang w:val="fr-FR"/>
        </w:rPr>
        <w:t>.</w:t>
      </w:r>
    </w:p>
    <w:p w:rsidR="0032468C" w:rsidRDefault="00DC3849" w:rsidP="00FB663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92</w:t>
      </w:r>
      <w:r>
        <w:rPr>
          <w:lang w:val="fr-FR"/>
        </w:rPr>
        <w:fldChar w:fldCharType="end"/>
      </w:r>
      <w:r>
        <w:rPr>
          <w:lang w:val="fr-FR"/>
        </w:rPr>
        <w:t>. </w:t>
      </w:r>
      <w:r w:rsidR="00712A7A">
        <w:rPr>
          <w:lang w:val="fr-FR"/>
        </w:rPr>
        <w:t> </w:t>
      </w:r>
      <w:r w:rsidR="00F95EB5">
        <w:rPr>
          <w:lang w:val="fr-FR"/>
        </w:rPr>
        <w:t>Selon l</w:t>
      </w:r>
      <w:r w:rsidR="00603708">
        <w:rPr>
          <w:lang w:val="fr-FR"/>
        </w:rPr>
        <w:t>’</w:t>
      </w:r>
      <w:r w:rsidR="00F95EB5">
        <w:rPr>
          <w:lang w:val="fr-FR"/>
        </w:rPr>
        <w:t>article 2 de la loi n</w:t>
      </w:r>
      <w:r w:rsidR="0032468C" w:rsidRPr="0032468C">
        <w:rPr>
          <w:vertAlign w:val="superscript"/>
          <w:lang w:val="fr-FR"/>
        </w:rPr>
        <w:t>o</w:t>
      </w:r>
      <w:r w:rsidR="00F95EB5">
        <w:rPr>
          <w:lang w:val="fr-FR"/>
        </w:rPr>
        <w:t xml:space="preserve"> 895 du 2 octobre 1967, la détention illégale d</w:t>
      </w:r>
      <w:r w:rsidR="00603708">
        <w:rPr>
          <w:lang w:val="fr-FR"/>
        </w:rPr>
        <w:t>’</w:t>
      </w:r>
      <w:r w:rsidR="00F95EB5">
        <w:rPr>
          <w:lang w:val="fr-FR"/>
        </w:rPr>
        <w:t xml:space="preserve">armes ou </w:t>
      </w:r>
      <w:r w:rsidR="0097094C">
        <w:rPr>
          <w:lang w:val="fr-FR"/>
        </w:rPr>
        <w:t>d</w:t>
      </w:r>
      <w:r w:rsidR="00603708">
        <w:rPr>
          <w:lang w:val="fr-FR"/>
        </w:rPr>
        <w:t>’</w:t>
      </w:r>
      <w:r w:rsidR="00F95EB5">
        <w:rPr>
          <w:lang w:val="fr-FR"/>
        </w:rPr>
        <w:t xml:space="preserve">explosifs est punie </w:t>
      </w:r>
      <w:r w:rsidR="00F95EB5" w:rsidRPr="00755AD9">
        <w:rPr>
          <w:lang w:val="fr-FR"/>
        </w:rPr>
        <w:t>d</w:t>
      </w:r>
      <w:r w:rsidR="00603708">
        <w:rPr>
          <w:lang w:val="fr-FR"/>
        </w:rPr>
        <w:t>’</w:t>
      </w:r>
      <w:r w:rsidR="00F95EB5" w:rsidRPr="00755AD9">
        <w:rPr>
          <w:lang w:val="fr-FR"/>
        </w:rPr>
        <w:t xml:space="preserve">une peine </w:t>
      </w:r>
      <w:r w:rsidR="003F7C69">
        <w:rPr>
          <w:lang w:val="fr-FR"/>
        </w:rPr>
        <w:t>d</w:t>
      </w:r>
      <w:r w:rsidR="00603708">
        <w:rPr>
          <w:lang w:val="fr-FR"/>
        </w:rPr>
        <w:t>’</w:t>
      </w:r>
      <w:r w:rsidR="003F7C69">
        <w:rPr>
          <w:lang w:val="fr-FR"/>
        </w:rPr>
        <w:t>emprisonnement</w:t>
      </w:r>
      <w:r w:rsidR="00603708">
        <w:rPr>
          <w:lang w:val="fr-FR"/>
        </w:rPr>
        <w:t xml:space="preserve"> </w:t>
      </w:r>
      <w:r w:rsidR="00F95EB5" w:rsidRPr="00755AD9">
        <w:rPr>
          <w:lang w:val="fr-FR"/>
        </w:rPr>
        <w:t>d</w:t>
      </w:r>
      <w:r w:rsidR="00603708">
        <w:rPr>
          <w:lang w:val="fr-FR"/>
        </w:rPr>
        <w:t>’</w:t>
      </w:r>
      <w:r w:rsidR="00F95EB5">
        <w:rPr>
          <w:lang w:val="fr-FR"/>
        </w:rPr>
        <w:t xml:space="preserve">un </w:t>
      </w:r>
      <w:r w:rsidR="00E62647">
        <w:rPr>
          <w:lang w:val="fr-FR"/>
        </w:rPr>
        <w:t xml:space="preserve">an </w:t>
      </w:r>
      <w:r w:rsidR="00F95EB5">
        <w:rPr>
          <w:lang w:val="fr-FR"/>
        </w:rPr>
        <w:t>à huit ans ainsi que d</w:t>
      </w:r>
      <w:r w:rsidR="00603708">
        <w:rPr>
          <w:lang w:val="fr-FR"/>
        </w:rPr>
        <w:t>’</w:t>
      </w:r>
      <w:r w:rsidR="00F95EB5">
        <w:rPr>
          <w:lang w:val="fr-FR"/>
        </w:rPr>
        <w:t>une amende.</w:t>
      </w:r>
    </w:p>
    <w:p w:rsidR="00603708" w:rsidRDefault="00F95EB5" w:rsidP="00FB6639">
      <w:pPr>
        <w:pStyle w:val="ECHRPara"/>
        <w:rPr>
          <w:lang w:val="fr-FR"/>
        </w:rPr>
      </w:pPr>
      <w:r>
        <w:rPr>
          <w:lang w:val="fr-FR"/>
        </w:rPr>
        <w:t>L</w:t>
      </w:r>
      <w:r w:rsidR="00603708">
        <w:rPr>
          <w:lang w:val="fr-FR"/>
        </w:rPr>
        <w:t>’</w:t>
      </w:r>
      <w:r>
        <w:rPr>
          <w:lang w:val="fr-FR"/>
        </w:rPr>
        <w:t>article 4 de la même loi sanctionne le port d</w:t>
      </w:r>
      <w:r w:rsidR="00603708">
        <w:rPr>
          <w:lang w:val="fr-FR"/>
        </w:rPr>
        <w:t>’</w:t>
      </w:r>
      <w:r>
        <w:rPr>
          <w:lang w:val="fr-FR"/>
        </w:rPr>
        <w:t xml:space="preserve">armes ou </w:t>
      </w:r>
      <w:r w:rsidR="00E62647">
        <w:rPr>
          <w:lang w:val="fr-FR"/>
        </w:rPr>
        <w:t>d</w:t>
      </w:r>
      <w:r w:rsidR="00603708">
        <w:rPr>
          <w:lang w:val="fr-FR"/>
        </w:rPr>
        <w:t>’</w:t>
      </w:r>
      <w:r>
        <w:rPr>
          <w:lang w:val="fr-FR"/>
        </w:rPr>
        <w:t>explosifs dans un lieu public ou ouvert au public d</w:t>
      </w:r>
      <w:r w:rsidR="00603708">
        <w:rPr>
          <w:lang w:val="fr-FR"/>
        </w:rPr>
        <w:t>’</w:t>
      </w:r>
      <w:r>
        <w:rPr>
          <w:lang w:val="fr-FR"/>
        </w:rPr>
        <w:t xml:space="preserve">une peine </w:t>
      </w:r>
      <w:r w:rsidR="003F7C69">
        <w:rPr>
          <w:lang w:val="fr-FR"/>
        </w:rPr>
        <w:t>d</w:t>
      </w:r>
      <w:r w:rsidR="00603708">
        <w:rPr>
          <w:lang w:val="fr-FR"/>
        </w:rPr>
        <w:t>’</w:t>
      </w:r>
      <w:r w:rsidR="003F7C69">
        <w:rPr>
          <w:lang w:val="fr-FR"/>
        </w:rPr>
        <w:t xml:space="preserve">emprisonnement </w:t>
      </w:r>
      <w:r>
        <w:rPr>
          <w:lang w:val="fr-FR"/>
        </w:rPr>
        <w:t>de deux à huit ans, en sus d</w:t>
      </w:r>
      <w:r w:rsidR="00603708">
        <w:rPr>
          <w:lang w:val="fr-FR"/>
        </w:rPr>
        <w:t>’</w:t>
      </w:r>
      <w:r>
        <w:rPr>
          <w:lang w:val="fr-FR"/>
        </w:rPr>
        <w:t>une amende ; ces peines sont augmenté</w:t>
      </w:r>
      <w:r w:rsidR="008A5BBA">
        <w:rPr>
          <w:lang w:val="fr-FR"/>
        </w:rPr>
        <w:t>es</w:t>
      </w:r>
      <w:r>
        <w:rPr>
          <w:lang w:val="fr-FR"/>
        </w:rPr>
        <w:t xml:space="preserve">, </w:t>
      </w:r>
      <w:r w:rsidR="0097094C">
        <w:rPr>
          <w:lang w:val="fr-FR"/>
        </w:rPr>
        <w:t>entre autres</w:t>
      </w:r>
      <w:r>
        <w:rPr>
          <w:lang w:val="fr-FR"/>
        </w:rPr>
        <w:t>, si le</w:t>
      </w:r>
      <w:r w:rsidR="008A5BBA">
        <w:rPr>
          <w:lang w:val="fr-FR"/>
        </w:rPr>
        <w:t xml:space="preserve"> délit</w:t>
      </w:r>
      <w:r>
        <w:rPr>
          <w:lang w:val="fr-FR"/>
        </w:rPr>
        <w:t xml:space="preserve"> est </w:t>
      </w:r>
      <w:r w:rsidR="008A5BBA">
        <w:rPr>
          <w:lang w:val="fr-FR"/>
        </w:rPr>
        <w:t>commis</w:t>
      </w:r>
      <w:r>
        <w:rPr>
          <w:lang w:val="fr-FR"/>
        </w:rPr>
        <w:t xml:space="preserve"> par deux ou plus</w:t>
      </w:r>
      <w:r w:rsidR="008A5BBA">
        <w:rPr>
          <w:lang w:val="fr-FR"/>
        </w:rPr>
        <w:t>ieurs</w:t>
      </w:r>
      <w:r>
        <w:rPr>
          <w:lang w:val="fr-FR"/>
        </w:rPr>
        <w:t xml:space="preserve"> personnes ou s</w:t>
      </w:r>
      <w:r w:rsidR="00603708">
        <w:rPr>
          <w:lang w:val="fr-FR"/>
        </w:rPr>
        <w:t>’</w:t>
      </w:r>
      <w:r>
        <w:rPr>
          <w:lang w:val="fr-FR"/>
        </w:rPr>
        <w:t>il est</w:t>
      </w:r>
      <w:r w:rsidR="008A5BBA">
        <w:rPr>
          <w:lang w:val="fr-FR"/>
        </w:rPr>
        <w:t xml:space="preserve"> commis</w:t>
      </w:r>
      <w:r>
        <w:rPr>
          <w:lang w:val="fr-FR"/>
        </w:rPr>
        <w:t xml:space="preserve"> la nuit dans un lieu habité.</w:t>
      </w:r>
    </w:p>
    <w:p w:rsidR="00A4200E" w:rsidRPr="008D3288" w:rsidRDefault="00266409" w:rsidP="00FB663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93</w:t>
      </w:r>
      <w:r>
        <w:rPr>
          <w:lang w:val="fr-FR"/>
        </w:rPr>
        <w:fldChar w:fldCharType="end"/>
      </w:r>
      <w:r>
        <w:rPr>
          <w:lang w:val="fr-FR"/>
        </w:rPr>
        <w:t>.  </w:t>
      </w:r>
      <w:r w:rsidR="00712A7A">
        <w:rPr>
          <w:lang w:val="fr-FR"/>
        </w:rPr>
        <w:t xml:space="preserve">Le CP </w:t>
      </w:r>
      <w:r w:rsidR="002861E3">
        <w:rPr>
          <w:lang w:val="fr-FR"/>
        </w:rPr>
        <w:t>prévoit comme</w:t>
      </w:r>
      <w:r w:rsidR="00712A7A">
        <w:rPr>
          <w:lang w:val="fr-FR"/>
        </w:rPr>
        <w:t xml:space="preserve"> circonstances aggravantes communes, </w:t>
      </w:r>
      <w:r w:rsidR="002861E3">
        <w:rPr>
          <w:lang w:val="fr-FR"/>
        </w:rPr>
        <w:t>entre autres, la commission du</w:t>
      </w:r>
      <w:r w:rsidR="00712A7A" w:rsidRPr="007D1924">
        <w:rPr>
          <w:lang w:val="fr-FR"/>
        </w:rPr>
        <w:t xml:space="preserve"> délit pour des motifs futiles ou abjects (</w:t>
      </w:r>
      <w:r w:rsidR="00662473" w:rsidRPr="007D1924">
        <w:rPr>
          <w:lang w:val="fr-FR"/>
        </w:rPr>
        <w:t>article</w:t>
      </w:r>
      <w:r w:rsidR="00662473">
        <w:rPr>
          <w:lang w:val="fr-FR"/>
        </w:rPr>
        <w:t> </w:t>
      </w:r>
      <w:r w:rsidR="00712A7A" w:rsidRPr="007D1924">
        <w:rPr>
          <w:lang w:val="fr-FR"/>
        </w:rPr>
        <w:t>61</w:t>
      </w:r>
      <w:r w:rsidR="00662473">
        <w:rPr>
          <w:lang w:val="fr-FR"/>
        </w:rPr>
        <w:t> </w:t>
      </w:r>
      <w:r w:rsidR="00662473" w:rsidRPr="000B5793">
        <w:rPr>
          <w:lang w:val="fr-FR"/>
        </w:rPr>
        <w:t>§</w:t>
      </w:r>
      <w:r w:rsidR="00662473">
        <w:rPr>
          <w:lang w:val="fr-FR"/>
        </w:rPr>
        <w:t> </w:t>
      </w:r>
      <w:r w:rsidR="00712A7A" w:rsidRPr="007D1924">
        <w:rPr>
          <w:lang w:val="fr-FR"/>
        </w:rPr>
        <w:t xml:space="preserve">1), </w:t>
      </w:r>
      <w:r w:rsidR="00921902">
        <w:rPr>
          <w:lang w:val="fr-FR"/>
        </w:rPr>
        <w:t>la commission du</w:t>
      </w:r>
      <w:r w:rsidR="00A4200E" w:rsidRPr="007D1924">
        <w:rPr>
          <w:lang w:val="fr-FR"/>
        </w:rPr>
        <w:t xml:space="preserve"> délit pour cacher un autre délit</w:t>
      </w:r>
      <w:r w:rsidR="00662473" w:rsidRPr="007D1924">
        <w:rPr>
          <w:lang w:val="fr-FR"/>
        </w:rPr>
        <w:t xml:space="preserve"> </w:t>
      </w:r>
      <w:r w:rsidR="00A4200E" w:rsidRPr="007D1924">
        <w:rPr>
          <w:lang w:val="fr-FR"/>
        </w:rPr>
        <w:t xml:space="preserve">(article </w:t>
      </w:r>
      <w:r w:rsidR="00662473" w:rsidRPr="007D1924">
        <w:rPr>
          <w:lang w:val="fr-FR"/>
        </w:rPr>
        <w:t xml:space="preserve">61 § </w:t>
      </w:r>
      <w:r w:rsidR="00A4200E" w:rsidRPr="007D1924">
        <w:rPr>
          <w:lang w:val="fr-FR"/>
        </w:rPr>
        <w:t xml:space="preserve">2), </w:t>
      </w:r>
      <w:r w:rsidR="00921902">
        <w:rPr>
          <w:lang w:val="fr-FR"/>
        </w:rPr>
        <w:t>la commission</w:t>
      </w:r>
      <w:r w:rsidR="00A4200E" w:rsidRPr="007D1924">
        <w:rPr>
          <w:lang w:val="fr-FR"/>
        </w:rPr>
        <w:t xml:space="preserve"> de sévices ou </w:t>
      </w:r>
      <w:r w:rsidR="00921902">
        <w:rPr>
          <w:lang w:val="fr-FR"/>
        </w:rPr>
        <w:t>d</w:t>
      </w:r>
      <w:r w:rsidR="00603708">
        <w:rPr>
          <w:lang w:val="fr-FR"/>
        </w:rPr>
        <w:t>’</w:t>
      </w:r>
      <w:r w:rsidR="00921902">
        <w:rPr>
          <w:lang w:val="fr-FR"/>
        </w:rPr>
        <w:t>actes cruels</w:t>
      </w:r>
      <w:r w:rsidR="00A4200E" w:rsidRPr="007D1924">
        <w:rPr>
          <w:lang w:val="fr-FR"/>
        </w:rPr>
        <w:t xml:space="preserve"> </w:t>
      </w:r>
      <w:r w:rsidR="001C54F0">
        <w:rPr>
          <w:lang w:val="fr-FR"/>
        </w:rPr>
        <w:t>à l</w:t>
      </w:r>
      <w:r w:rsidR="00603708">
        <w:rPr>
          <w:lang w:val="fr-FR"/>
        </w:rPr>
        <w:t>’</w:t>
      </w:r>
      <w:r w:rsidR="001C54F0">
        <w:rPr>
          <w:lang w:val="fr-FR"/>
        </w:rPr>
        <w:t>encontre d</w:t>
      </w:r>
      <w:r w:rsidR="00603708">
        <w:rPr>
          <w:lang w:val="fr-FR"/>
        </w:rPr>
        <w:t>’</w:t>
      </w:r>
      <w:r w:rsidR="00A4200E" w:rsidRPr="007D1924">
        <w:rPr>
          <w:lang w:val="fr-FR"/>
        </w:rPr>
        <w:t>une personne</w:t>
      </w:r>
      <w:r w:rsidR="001C54F0" w:rsidRPr="007D1924">
        <w:rPr>
          <w:lang w:val="fr-FR"/>
        </w:rPr>
        <w:t xml:space="preserve"> </w:t>
      </w:r>
      <w:r w:rsidR="00A4200E" w:rsidRPr="008D3288">
        <w:rPr>
          <w:lang w:val="fr-FR"/>
        </w:rPr>
        <w:t>(article 61</w:t>
      </w:r>
      <w:r w:rsidR="00662473" w:rsidRPr="008D3288">
        <w:rPr>
          <w:lang w:val="fr-FR"/>
        </w:rPr>
        <w:t xml:space="preserve"> </w:t>
      </w:r>
      <w:r w:rsidR="00662473" w:rsidRPr="000B5793">
        <w:rPr>
          <w:lang w:val="fr-FR"/>
        </w:rPr>
        <w:t>§</w:t>
      </w:r>
      <w:r w:rsidR="001C54F0" w:rsidRPr="008D3288">
        <w:rPr>
          <w:lang w:val="fr-FR"/>
        </w:rPr>
        <w:t xml:space="preserve"> </w:t>
      </w:r>
      <w:r w:rsidR="00A4200E" w:rsidRPr="008D3288">
        <w:rPr>
          <w:lang w:val="fr-FR"/>
        </w:rPr>
        <w:t xml:space="preserve">4) et, enfin, </w:t>
      </w:r>
      <w:r w:rsidR="00921902" w:rsidRPr="008D3288">
        <w:rPr>
          <w:lang w:val="fr-FR"/>
        </w:rPr>
        <w:t>la commission du</w:t>
      </w:r>
      <w:r w:rsidR="00A4200E" w:rsidRPr="008D3288">
        <w:rPr>
          <w:lang w:val="fr-FR"/>
        </w:rPr>
        <w:t xml:space="preserve"> délit </w:t>
      </w:r>
      <w:r w:rsidR="007D1924" w:rsidRPr="008D3288">
        <w:rPr>
          <w:lang w:val="fr-FR"/>
        </w:rPr>
        <w:t>d</w:t>
      </w:r>
      <w:r w:rsidR="00603708">
        <w:rPr>
          <w:lang w:val="fr-FR"/>
        </w:rPr>
        <w:t>’</w:t>
      </w:r>
      <w:r w:rsidR="007D1924" w:rsidRPr="008D3288">
        <w:rPr>
          <w:lang w:val="fr-FR"/>
        </w:rPr>
        <w:t>abus de</w:t>
      </w:r>
      <w:r w:rsidR="00A4200E" w:rsidRPr="008D3288">
        <w:rPr>
          <w:lang w:val="fr-FR"/>
        </w:rPr>
        <w:t xml:space="preserve"> pouvoir inhérents à l</w:t>
      </w:r>
      <w:r w:rsidR="00603708">
        <w:rPr>
          <w:lang w:val="fr-FR"/>
        </w:rPr>
        <w:t>’</w:t>
      </w:r>
      <w:r w:rsidR="00A4200E" w:rsidRPr="008D3288">
        <w:rPr>
          <w:lang w:val="fr-FR"/>
        </w:rPr>
        <w:t>exercice d</w:t>
      </w:r>
      <w:r w:rsidR="00603708">
        <w:rPr>
          <w:lang w:val="fr-FR"/>
        </w:rPr>
        <w:t>’</w:t>
      </w:r>
      <w:r w:rsidR="00A4200E" w:rsidRPr="008D3288">
        <w:rPr>
          <w:lang w:val="fr-FR"/>
        </w:rPr>
        <w:t xml:space="preserve">une fonction publique ou </w:t>
      </w:r>
      <w:r w:rsidR="007D1924" w:rsidRPr="008D3288">
        <w:rPr>
          <w:lang w:val="fr-FR"/>
        </w:rPr>
        <w:t xml:space="preserve">de </w:t>
      </w:r>
      <w:r w:rsidR="00A4200E" w:rsidRPr="008D3288">
        <w:rPr>
          <w:lang w:val="fr-FR"/>
        </w:rPr>
        <w:t>violation des devoirs inhérents à l</w:t>
      </w:r>
      <w:r w:rsidR="00603708">
        <w:rPr>
          <w:lang w:val="fr-FR"/>
        </w:rPr>
        <w:t>’</w:t>
      </w:r>
      <w:r w:rsidR="00A4200E" w:rsidRPr="008D3288">
        <w:rPr>
          <w:lang w:val="fr-FR"/>
        </w:rPr>
        <w:t>exercice d</w:t>
      </w:r>
      <w:r w:rsidR="00603708">
        <w:rPr>
          <w:lang w:val="fr-FR"/>
        </w:rPr>
        <w:t>’</w:t>
      </w:r>
      <w:r w:rsidR="00A4200E" w:rsidRPr="008D3288">
        <w:rPr>
          <w:lang w:val="fr-FR"/>
        </w:rPr>
        <w:t>une fonction publique.</w:t>
      </w:r>
    </w:p>
    <w:p w:rsidR="00603708" w:rsidRDefault="00544D29" w:rsidP="00FB6639">
      <w:pPr>
        <w:pStyle w:val="ECHRPara"/>
        <w:rPr>
          <w:lang w:val="fr-FR"/>
        </w:rPr>
      </w:pPr>
      <w:r w:rsidRPr="008D3288">
        <w:rPr>
          <w:lang w:val="fr-FR"/>
        </w:rPr>
        <w:t>L</w:t>
      </w:r>
      <w:r w:rsidR="00603708">
        <w:rPr>
          <w:lang w:val="fr-FR"/>
        </w:rPr>
        <w:t>’</w:t>
      </w:r>
      <w:r w:rsidRPr="008D3288">
        <w:rPr>
          <w:lang w:val="fr-FR"/>
        </w:rPr>
        <w:t xml:space="preserve">article 62 énumère les circonstances atténuantes communes. </w:t>
      </w:r>
      <w:r w:rsidR="00A4200E" w:rsidRPr="008D3288">
        <w:rPr>
          <w:lang w:val="fr-FR"/>
        </w:rPr>
        <w:t>Aux</w:t>
      </w:r>
      <w:r w:rsidR="00DF7CD8">
        <w:rPr>
          <w:lang w:val="fr-FR"/>
        </w:rPr>
        <w:t> </w:t>
      </w:r>
      <w:r w:rsidR="00A4200E" w:rsidRPr="008D3288">
        <w:rPr>
          <w:lang w:val="fr-FR"/>
        </w:rPr>
        <w:t>termes de l</w:t>
      </w:r>
      <w:r w:rsidR="00603708">
        <w:rPr>
          <w:lang w:val="fr-FR"/>
        </w:rPr>
        <w:t>’</w:t>
      </w:r>
      <w:r w:rsidR="00A4200E" w:rsidRPr="008D3288">
        <w:rPr>
          <w:lang w:val="fr-FR"/>
        </w:rPr>
        <w:t>article 62-</w:t>
      </w:r>
      <w:r w:rsidR="00A4200E" w:rsidRPr="008D3288">
        <w:rPr>
          <w:i/>
          <w:lang w:val="fr-FR"/>
        </w:rPr>
        <w:t>bis</w:t>
      </w:r>
      <w:r w:rsidR="00A4200E" w:rsidRPr="008D3288">
        <w:rPr>
          <w:lang w:val="fr-FR"/>
        </w:rPr>
        <w:t xml:space="preserve"> du CP, dans la détermination de la peine, le juge peut prendre en considération toute circonstance qui n</w:t>
      </w:r>
      <w:r w:rsidR="00603708">
        <w:rPr>
          <w:lang w:val="fr-FR"/>
        </w:rPr>
        <w:t>’</w:t>
      </w:r>
      <w:r w:rsidR="00A4200E" w:rsidRPr="008D3288">
        <w:rPr>
          <w:lang w:val="fr-FR"/>
        </w:rPr>
        <w:t xml:space="preserve">est pas visée </w:t>
      </w:r>
      <w:r w:rsidR="00E713FE" w:rsidRPr="008D3288">
        <w:rPr>
          <w:lang w:val="fr-FR"/>
        </w:rPr>
        <w:t xml:space="preserve">expressément </w:t>
      </w:r>
      <w:r w:rsidR="00A4200E" w:rsidRPr="008D3288">
        <w:rPr>
          <w:lang w:val="fr-FR"/>
        </w:rPr>
        <w:t>par l</w:t>
      </w:r>
      <w:r w:rsidR="00603708">
        <w:rPr>
          <w:lang w:val="fr-FR"/>
        </w:rPr>
        <w:t>’</w:t>
      </w:r>
      <w:r w:rsidR="00A4200E" w:rsidRPr="008D3288">
        <w:rPr>
          <w:lang w:val="fr-FR"/>
        </w:rPr>
        <w:t>article 62 et qui peut justifier la diminution de la peine.</w:t>
      </w:r>
    </w:p>
    <w:p w:rsidR="00603708" w:rsidRDefault="00A4200E" w:rsidP="00B33698">
      <w:pPr>
        <w:pStyle w:val="ECHRPara"/>
        <w:rPr>
          <w:lang w:val="fr-FR"/>
        </w:rPr>
      </w:pPr>
      <w:r w:rsidRPr="008D3288">
        <w:rPr>
          <w:lang w:val="fr-FR"/>
        </w:rPr>
        <w:fldChar w:fldCharType="begin"/>
      </w:r>
      <w:r w:rsidRPr="008D3288">
        <w:rPr>
          <w:lang w:val="fr-FR"/>
        </w:rPr>
        <w:instrText xml:space="preserve"> SEQ level0 \*arabic </w:instrText>
      </w:r>
      <w:r w:rsidRPr="008D3288">
        <w:rPr>
          <w:lang w:val="fr-FR"/>
        </w:rPr>
        <w:fldChar w:fldCharType="separate"/>
      </w:r>
      <w:r w:rsidR="00B378F9">
        <w:rPr>
          <w:noProof/>
          <w:lang w:val="fr-FR"/>
        </w:rPr>
        <w:t>94</w:t>
      </w:r>
      <w:r w:rsidRPr="008D3288">
        <w:rPr>
          <w:lang w:val="fr-FR"/>
        </w:rPr>
        <w:fldChar w:fldCharType="end"/>
      </w:r>
      <w:r w:rsidRPr="008D3288">
        <w:rPr>
          <w:lang w:val="fr-FR"/>
        </w:rPr>
        <w:t>.</w:t>
      </w:r>
      <w:r w:rsidR="00C73955" w:rsidRPr="008D3288">
        <w:rPr>
          <w:lang w:val="fr-FR"/>
        </w:rPr>
        <w:t>  </w:t>
      </w:r>
      <w:r w:rsidR="00B33698" w:rsidRPr="008D3288">
        <w:rPr>
          <w:lang w:val="fr-FR"/>
        </w:rPr>
        <w:t xml:space="preserve">En cas de condamnation </w:t>
      </w:r>
      <w:r w:rsidR="00E713FE" w:rsidRPr="008D3288">
        <w:rPr>
          <w:lang w:val="fr-FR"/>
        </w:rPr>
        <w:t xml:space="preserve">dans la même décision </w:t>
      </w:r>
      <w:r w:rsidR="00D81677" w:rsidRPr="008D3288">
        <w:rPr>
          <w:lang w:val="fr-FR"/>
        </w:rPr>
        <w:t>du chef</w:t>
      </w:r>
      <w:r w:rsidR="00B33698" w:rsidRPr="008D3288">
        <w:rPr>
          <w:lang w:val="fr-FR"/>
        </w:rPr>
        <w:t xml:space="preserve"> de plusieurs délits, les peines </w:t>
      </w:r>
      <w:r w:rsidR="003F7C69" w:rsidRPr="008D3288">
        <w:rPr>
          <w:lang w:val="fr-FR"/>
        </w:rPr>
        <w:t>d</w:t>
      </w:r>
      <w:r w:rsidR="00603708">
        <w:rPr>
          <w:lang w:val="fr-FR"/>
        </w:rPr>
        <w:t>’</w:t>
      </w:r>
      <w:r w:rsidR="003F7C69" w:rsidRPr="008D3288">
        <w:rPr>
          <w:lang w:val="fr-FR"/>
        </w:rPr>
        <w:t xml:space="preserve">emprisonnement </w:t>
      </w:r>
      <w:r w:rsidR="00D81677" w:rsidRPr="008D3288">
        <w:rPr>
          <w:lang w:val="fr-FR"/>
        </w:rPr>
        <w:t>se cumulent tout comme</w:t>
      </w:r>
      <w:r w:rsidR="00B33698" w:rsidRPr="008D3288">
        <w:rPr>
          <w:lang w:val="fr-FR"/>
        </w:rPr>
        <w:t xml:space="preserve"> les amendes prévues p</w:t>
      </w:r>
      <w:r w:rsidR="00D81677" w:rsidRPr="008D3288">
        <w:rPr>
          <w:lang w:val="fr-FR"/>
        </w:rPr>
        <w:t>our</w:t>
      </w:r>
      <w:r w:rsidR="00B33698" w:rsidRPr="008D3288">
        <w:rPr>
          <w:lang w:val="fr-FR"/>
        </w:rPr>
        <w:t xml:space="preserve"> les divers délits (articles 71, 73 et 74</w:t>
      </w:r>
      <w:r w:rsidR="00E111DA" w:rsidRPr="008D3288">
        <w:rPr>
          <w:lang w:val="fr-FR"/>
        </w:rPr>
        <w:t xml:space="preserve"> du CP</w:t>
      </w:r>
      <w:r w:rsidR="00B33698" w:rsidRPr="008D3288">
        <w:rPr>
          <w:lang w:val="fr-FR"/>
        </w:rPr>
        <w:t xml:space="preserve">). Toutefois, la peine </w:t>
      </w:r>
      <w:r w:rsidR="003F7C69" w:rsidRPr="008D3288">
        <w:rPr>
          <w:lang w:val="fr-FR"/>
        </w:rPr>
        <w:t>d</w:t>
      </w:r>
      <w:r w:rsidR="00603708">
        <w:rPr>
          <w:lang w:val="fr-FR"/>
        </w:rPr>
        <w:t>’</w:t>
      </w:r>
      <w:r w:rsidR="003F7C69" w:rsidRPr="008D3288">
        <w:rPr>
          <w:lang w:val="fr-FR"/>
        </w:rPr>
        <w:t xml:space="preserve">emprisonnement </w:t>
      </w:r>
      <w:r w:rsidR="00B33698" w:rsidRPr="008D3288">
        <w:rPr>
          <w:lang w:val="fr-FR"/>
        </w:rPr>
        <w:t xml:space="preserve">ainsi calculée ne peut pas dépasser, globalement, le quintuple de la peine la plus </w:t>
      </w:r>
      <w:r w:rsidR="00D81677" w:rsidRPr="008D3288">
        <w:rPr>
          <w:lang w:val="fr-FR"/>
        </w:rPr>
        <w:t>lourde</w:t>
      </w:r>
      <w:r w:rsidR="00B33698" w:rsidRPr="008D3288">
        <w:rPr>
          <w:lang w:val="fr-FR"/>
        </w:rPr>
        <w:t xml:space="preserve"> </w:t>
      </w:r>
      <w:r w:rsidR="00D81677" w:rsidRPr="008D3288">
        <w:rPr>
          <w:lang w:val="fr-FR"/>
        </w:rPr>
        <w:t>dont est passible</w:t>
      </w:r>
      <w:r w:rsidR="00B33698" w:rsidRPr="008D3288">
        <w:rPr>
          <w:lang w:val="fr-FR"/>
        </w:rPr>
        <w:t xml:space="preserve"> un de ces délits et, en tou</w:t>
      </w:r>
      <w:r w:rsidR="00C73955" w:rsidRPr="008D3288">
        <w:rPr>
          <w:lang w:val="fr-FR"/>
        </w:rPr>
        <w:t>t état de cause</w:t>
      </w:r>
      <w:r w:rsidR="00B33698" w:rsidRPr="008D3288">
        <w:rPr>
          <w:lang w:val="fr-FR"/>
        </w:rPr>
        <w:t xml:space="preserve">, </w:t>
      </w:r>
      <w:r w:rsidR="00C73955" w:rsidRPr="008D3288">
        <w:rPr>
          <w:lang w:val="fr-FR"/>
        </w:rPr>
        <w:t xml:space="preserve">elle </w:t>
      </w:r>
      <w:r w:rsidR="00B33698" w:rsidRPr="008D3288">
        <w:rPr>
          <w:lang w:val="fr-FR"/>
        </w:rPr>
        <w:t>ne</w:t>
      </w:r>
      <w:r w:rsidR="00D061E7">
        <w:rPr>
          <w:lang w:val="fr-FR"/>
        </w:rPr>
        <w:t xml:space="preserve"> peut pas </w:t>
      </w:r>
      <w:r w:rsidR="00D81677" w:rsidRPr="008D3288">
        <w:rPr>
          <w:lang w:val="fr-FR"/>
        </w:rPr>
        <w:t>dépasser</w:t>
      </w:r>
      <w:r w:rsidR="00B33698" w:rsidRPr="008D3288">
        <w:rPr>
          <w:lang w:val="fr-FR"/>
        </w:rPr>
        <w:t xml:space="preserve"> trente ans </w:t>
      </w:r>
      <w:r w:rsidR="00E111DA" w:rsidRPr="008D3288">
        <w:rPr>
          <w:lang w:val="fr-FR"/>
        </w:rPr>
        <w:t>(article 78</w:t>
      </w:r>
      <w:r w:rsidR="00C73955" w:rsidRPr="008D3288">
        <w:rPr>
          <w:lang w:val="fr-FR"/>
        </w:rPr>
        <w:t xml:space="preserve"> § 1</w:t>
      </w:r>
      <w:r w:rsidR="00E111DA" w:rsidRPr="008D3288">
        <w:rPr>
          <w:lang w:val="fr-FR"/>
        </w:rPr>
        <w:t xml:space="preserve"> du CP)</w:t>
      </w:r>
      <w:r w:rsidR="00B33698" w:rsidRPr="008D3288">
        <w:rPr>
          <w:lang w:val="fr-FR"/>
        </w:rPr>
        <w:t>.</w:t>
      </w:r>
    </w:p>
    <w:p w:rsidR="00603708" w:rsidRDefault="00E111DA" w:rsidP="00FB6639">
      <w:pPr>
        <w:pStyle w:val="ECHRPara"/>
        <w:rPr>
          <w:lang w:val="fr-FR"/>
        </w:rPr>
      </w:pPr>
      <w:r w:rsidRPr="008D3288">
        <w:rPr>
          <w:lang w:val="fr-FR"/>
        </w:rPr>
        <w:fldChar w:fldCharType="begin"/>
      </w:r>
      <w:r w:rsidRPr="008D3288">
        <w:rPr>
          <w:lang w:val="fr-FR"/>
        </w:rPr>
        <w:instrText xml:space="preserve"> SEQ level0 \*arabic </w:instrText>
      </w:r>
      <w:r w:rsidRPr="008D3288">
        <w:rPr>
          <w:lang w:val="fr-FR"/>
        </w:rPr>
        <w:fldChar w:fldCharType="separate"/>
      </w:r>
      <w:r w:rsidR="00B378F9">
        <w:rPr>
          <w:noProof/>
          <w:lang w:val="fr-FR"/>
        </w:rPr>
        <w:t>95</w:t>
      </w:r>
      <w:r w:rsidRPr="008D3288">
        <w:rPr>
          <w:lang w:val="fr-FR"/>
        </w:rPr>
        <w:fldChar w:fldCharType="end"/>
      </w:r>
      <w:r w:rsidRPr="008D3288">
        <w:rPr>
          <w:lang w:val="fr-FR"/>
        </w:rPr>
        <w:t>.  </w:t>
      </w:r>
      <w:r w:rsidR="00BD57E1" w:rsidRPr="008D3288">
        <w:rPr>
          <w:lang w:val="fr-FR"/>
        </w:rPr>
        <w:t xml:space="preserve">Si plusieurs délits sont commis </w:t>
      </w:r>
      <w:r w:rsidR="00CB6D64" w:rsidRPr="008D3288">
        <w:rPr>
          <w:lang w:val="fr-FR"/>
        </w:rPr>
        <w:t>par le biais</w:t>
      </w:r>
      <w:r w:rsidR="00BD57E1" w:rsidRPr="008D3288">
        <w:rPr>
          <w:lang w:val="fr-FR"/>
        </w:rPr>
        <w:t xml:space="preserve"> de plusieurs actions ou omissions en </w:t>
      </w:r>
      <w:r w:rsidR="00CB6D64" w:rsidRPr="008D3288">
        <w:rPr>
          <w:lang w:val="fr-FR"/>
        </w:rPr>
        <w:t>lien avec le</w:t>
      </w:r>
      <w:r w:rsidR="00BD57E1" w:rsidRPr="008D3288">
        <w:rPr>
          <w:lang w:val="fr-FR"/>
        </w:rPr>
        <w:t xml:space="preserve"> même projet délictuel, le juge doit infliger la peine </w:t>
      </w:r>
      <w:r w:rsidR="00B33698" w:rsidRPr="008D3288">
        <w:rPr>
          <w:lang w:val="fr-FR"/>
        </w:rPr>
        <w:t>prévue</w:t>
      </w:r>
      <w:r w:rsidR="00BD57E1" w:rsidRPr="008D3288">
        <w:rPr>
          <w:lang w:val="fr-FR"/>
        </w:rPr>
        <w:t xml:space="preserve"> pour le délit le plus grave, </w:t>
      </w:r>
      <w:r w:rsidR="00B33698" w:rsidRPr="008D3288">
        <w:rPr>
          <w:lang w:val="fr-FR"/>
        </w:rPr>
        <w:t>augmentée</w:t>
      </w:r>
      <w:r w:rsidR="00BD57E1" w:rsidRPr="008D3288">
        <w:rPr>
          <w:lang w:val="fr-FR"/>
        </w:rPr>
        <w:t xml:space="preserve"> jusqu</w:t>
      </w:r>
      <w:r w:rsidR="00603708">
        <w:rPr>
          <w:lang w:val="fr-FR"/>
        </w:rPr>
        <w:t>’</w:t>
      </w:r>
      <w:r w:rsidR="00BD57E1" w:rsidRPr="008D3288">
        <w:rPr>
          <w:lang w:val="fr-FR"/>
        </w:rPr>
        <w:t xml:space="preserve">au </w:t>
      </w:r>
      <w:r w:rsidR="00B33698" w:rsidRPr="008D3288">
        <w:rPr>
          <w:lang w:val="fr-FR"/>
        </w:rPr>
        <w:t>triple</w:t>
      </w:r>
      <w:r w:rsidRPr="008D3288">
        <w:rPr>
          <w:lang w:val="fr-FR"/>
        </w:rPr>
        <w:t xml:space="preserve"> et toujours dans la limite des plafonds indiqués, notamment, par l</w:t>
      </w:r>
      <w:r w:rsidR="00603708">
        <w:rPr>
          <w:lang w:val="fr-FR"/>
        </w:rPr>
        <w:t>’</w:t>
      </w:r>
      <w:r w:rsidRPr="008D3288">
        <w:rPr>
          <w:lang w:val="fr-FR"/>
        </w:rPr>
        <w:t xml:space="preserve">article 78 </w:t>
      </w:r>
      <w:r w:rsidR="00B33698" w:rsidRPr="008D3288">
        <w:rPr>
          <w:lang w:val="fr-FR"/>
        </w:rPr>
        <w:t>(article 81 du</w:t>
      </w:r>
      <w:r w:rsidR="00B33698">
        <w:rPr>
          <w:lang w:val="fr-FR"/>
        </w:rPr>
        <w:t xml:space="preserve"> CP)</w:t>
      </w:r>
      <w:r>
        <w:rPr>
          <w:lang w:val="fr-FR"/>
        </w:rPr>
        <w:t>.</w:t>
      </w:r>
    </w:p>
    <w:p w:rsidR="00603708" w:rsidRDefault="003252ED" w:rsidP="00132408">
      <w:pPr>
        <w:pStyle w:val="ECHRHeading3"/>
        <w:rPr>
          <w:lang w:val="fr-FR"/>
        </w:rPr>
      </w:pPr>
      <w:r>
        <w:rPr>
          <w:lang w:val="fr-FR"/>
        </w:rPr>
        <w:t>2</w:t>
      </w:r>
      <w:r w:rsidR="00FB6639">
        <w:rPr>
          <w:lang w:val="fr-FR"/>
        </w:rPr>
        <w:t>.</w:t>
      </w:r>
      <w:r w:rsidR="00DC07DD">
        <w:rPr>
          <w:lang w:val="fr-FR"/>
        </w:rPr>
        <w:t>  </w:t>
      </w:r>
      <w:r w:rsidR="00FB6639">
        <w:rPr>
          <w:lang w:val="fr-FR"/>
        </w:rPr>
        <w:t>La p</w:t>
      </w:r>
      <w:r w:rsidR="00D26D31" w:rsidRPr="00D26D31">
        <w:rPr>
          <w:lang w:val="fr-FR"/>
        </w:rPr>
        <w:t>rescription des infractions pénales</w:t>
      </w:r>
    </w:p>
    <w:p w:rsidR="00D26D31" w:rsidRPr="00D26D31" w:rsidRDefault="00D26D31" w:rsidP="00D26D31">
      <w:pPr>
        <w:pStyle w:val="ECHRPara"/>
        <w:ind w:firstLine="232"/>
        <w:rPr>
          <w:lang w:val="fr-FR"/>
        </w:rPr>
      </w:pPr>
      <w:r>
        <w:fldChar w:fldCharType="begin"/>
      </w:r>
      <w:r w:rsidRPr="00D26D31">
        <w:rPr>
          <w:lang w:val="fr-FR"/>
        </w:rPr>
        <w:instrText xml:space="preserve"> SEQ level0 \*arabic </w:instrText>
      </w:r>
      <w:r>
        <w:fldChar w:fldCharType="separate"/>
      </w:r>
      <w:r w:rsidR="00B378F9">
        <w:rPr>
          <w:noProof/>
          <w:lang w:val="fr-FR"/>
        </w:rPr>
        <w:t>96</w:t>
      </w:r>
      <w:r>
        <w:fldChar w:fldCharType="end"/>
      </w:r>
      <w:r w:rsidRPr="00D26D31">
        <w:rPr>
          <w:lang w:val="fr-FR"/>
        </w:rPr>
        <w:t xml:space="preserve">.  La prescription </w:t>
      </w:r>
      <w:r w:rsidR="00CB6D64">
        <w:rPr>
          <w:lang w:val="fr-FR"/>
        </w:rPr>
        <w:t>constitue l</w:t>
      </w:r>
      <w:r w:rsidR="00603708">
        <w:rPr>
          <w:lang w:val="fr-FR"/>
        </w:rPr>
        <w:t>’</w:t>
      </w:r>
      <w:r w:rsidR="00CB6D64">
        <w:rPr>
          <w:lang w:val="fr-FR"/>
        </w:rPr>
        <w:t>un d</w:t>
      </w:r>
      <w:r w:rsidRPr="00D26D31">
        <w:rPr>
          <w:lang w:val="fr-FR"/>
        </w:rPr>
        <w:t>es motifs d</w:t>
      </w:r>
      <w:r w:rsidR="00603708">
        <w:rPr>
          <w:lang w:val="fr-FR"/>
        </w:rPr>
        <w:t>’</w:t>
      </w:r>
      <w:r w:rsidRPr="00D26D31">
        <w:rPr>
          <w:lang w:val="fr-FR"/>
        </w:rPr>
        <w:t xml:space="preserve">extinction des infractions pénales (Chapitre I du Titre VI du Livre I du CP). Sa réglementation a été modifiée par la </w:t>
      </w:r>
      <w:r w:rsidRPr="00D26D31">
        <w:rPr>
          <w:rStyle w:val="sb8d990e2"/>
          <w:lang w:val="fr-FR"/>
        </w:rPr>
        <w:t>loi n</w:t>
      </w:r>
      <w:r w:rsidRPr="00D26D31">
        <w:rPr>
          <w:rStyle w:val="sea881cdfhasverticalalignsuper"/>
          <w:vertAlign w:val="superscript"/>
          <w:lang w:val="fr-FR"/>
        </w:rPr>
        <w:t>o</w:t>
      </w:r>
      <w:r w:rsidRPr="00D26D31">
        <w:rPr>
          <w:rStyle w:val="sb8d990e2"/>
          <w:lang w:val="fr-FR"/>
        </w:rPr>
        <w:t> 251 du 5 décembre 2005</w:t>
      </w:r>
      <w:r w:rsidRPr="00D26D31">
        <w:rPr>
          <w:lang w:val="fr-FR"/>
        </w:rPr>
        <w:t xml:space="preserve"> et par le décret-loi </w:t>
      </w:r>
      <w:r w:rsidRPr="00D26D31">
        <w:rPr>
          <w:rStyle w:val="sb8d990e2"/>
          <w:lang w:val="fr-FR"/>
        </w:rPr>
        <w:t>n</w:t>
      </w:r>
      <w:r w:rsidRPr="00D26D31">
        <w:rPr>
          <w:rStyle w:val="sea881cdfhasverticalalignsuper"/>
          <w:vertAlign w:val="superscript"/>
          <w:lang w:val="fr-FR"/>
        </w:rPr>
        <w:t>o</w:t>
      </w:r>
      <w:r w:rsidRPr="00D26D31">
        <w:rPr>
          <w:lang w:val="fr-FR"/>
        </w:rPr>
        <w:t xml:space="preserve"> 92 du 23 mai 2008.</w:t>
      </w:r>
    </w:p>
    <w:p w:rsidR="00D26D31" w:rsidRPr="00D26D31" w:rsidRDefault="00D26D31" w:rsidP="00D26D31">
      <w:pPr>
        <w:pStyle w:val="ECHRPara"/>
        <w:ind w:firstLine="232"/>
        <w:rPr>
          <w:lang w:val="fr-FR"/>
        </w:rPr>
      </w:pPr>
      <w:r>
        <w:fldChar w:fldCharType="begin"/>
      </w:r>
      <w:r w:rsidRPr="00D26D31">
        <w:rPr>
          <w:lang w:val="fr-FR"/>
        </w:rPr>
        <w:instrText xml:space="preserve"> SEQ level0 \*arabic </w:instrText>
      </w:r>
      <w:r>
        <w:fldChar w:fldCharType="separate"/>
      </w:r>
      <w:r w:rsidR="00B378F9">
        <w:rPr>
          <w:noProof/>
          <w:lang w:val="fr-FR"/>
        </w:rPr>
        <w:t>97</w:t>
      </w:r>
      <w:r>
        <w:fldChar w:fldCharType="end"/>
      </w:r>
      <w:r w:rsidRPr="00D26D31">
        <w:rPr>
          <w:lang w:val="fr-FR"/>
        </w:rPr>
        <w:t>.  D</w:t>
      </w:r>
      <w:r w:rsidR="00603708">
        <w:rPr>
          <w:lang w:val="fr-FR"/>
        </w:rPr>
        <w:t>’</w:t>
      </w:r>
      <w:r w:rsidRPr="00D26D31">
        <w:rPr>
          <w:lang w:val="fr-FR"/>
        </w:rPr>
        <w:t>après l</w:t>
      </w:r>
      <w:r w:rsidR="00603708">
        <w:rPr>
          <w:lang w:val="fr-FR"/>
        </w:rPr>
        <w:t>’</w:t>
      </w:r>
      <w:r w:rsidRPr="00D26D31">
        <w:rPr>
          <w:lang w:val="fr-FR"/>
        </w:rPr>
        <w:t>article 157 § 1 du CP, l</w:t>
      </w:r>
      <w:r w:rsidR="00603708">
        <w:rPr>
          <w:lang w:val="fr-FR"/>
        </w:rPr>
        <w:t>’</w:t>
      </w:r>
      <w:r w:rsidRPr="00D26D31">
        <w:rPr>
          <w:lang w:val="fr-FR"/>
        </w:rPr>
        <w:t>infraction pénale est prescrite après l</w:t>
      </w:r>
      <w:r w:rsidR="00603708">
        <w:rPr>
          <w:lang w:val="fr-FR"/>
        </w:rPr>
        <w:t>’</w:t>
      </w:r>
      <w:r w:rsidRPr="00D26D31">
        <w:rPr>
          <w:lang w:val="fr-FR"/>
        </w:rPr>
        <w:t>écoulement d</w:t>
      </w:r>
      <w:r w:rsidR="00603708">
        <w:rPr>
          <w:lang w:val="fr-FR"/>
        </w:rPr>
        <w:t>’</w:t>
      </w:r>
      <w:r w:rsidRPr="00D26D31">
        <w:rPr>
          <w:lang w:val="fr-FR"/>
        </w:rPr>
        <w:t xml:space="preserve">un laps de temps équivalent à la </w:t>
      </w:r>
      <w:r w:rsidR="00CB6D64">
        <w:rPr>
          <w:lang w:val="fr-FR"/>
        </w:rPr>
        <w:t xml:space="preserve">durée de la </w:t>
      </w:r>
      <w:r w:rsidRPr="00D26D31">
        <w:rPr>
          <w:lang w:val="fr-FR"/>
        </w:rPr>
        <w:t>peine maximale prévue par la loi et pour autant que ce laps de temps ne soit pas inférieur à six ans pour les délits et à quatre ans pour les contraventions.</w:t>
      </w:r>
    </w:p>
    <w:p w:rsidR="00D26D31" w:rsidRPr="00D26D31" w:rsidRDefault="00D26D31" w:rsidP="00D26D31">
      <w:pPr>
        <w:pStyle w:val="ECHRPara"/>
        <w:ind w:firstLine="232"/>
        <w:rPr>
          <w:lang w:val="fr-FR"/>
        </w:rPr>
      </w:pPr>
      <w:r>
        <w:fldChar w:fldCharType="begin"/>
      </w:r>
      <w:r w:rsidRPr="00D26D31">
        <w:rPr>
          <w:lang w:val="fr-FR"/>
        </w:rPr>
        <w:instrText xml:space="preserve"> SEQ level0 \*arabic </w:instrText>
      </w:r>
      <w:r>
        <w:fldChar w:fldCharType="separate"/>
      </w:r>
      <w:r w:rsidR="00B378F9">
        <w:rPr>
          <w:noProof/>
          <w:lang w:val="fr-FR"/>
        </w:rPr>
        <w:t>98</w:t>
      </w:r>
      <w:r>
        <w:fldChar w:fldCharType="end"/>
      </w:r>
      <w:r w:rsidRPr="00D26D31">
        <w:rPr>
          <w:lang w:val="fr-FR"/>
        </w:rPr>
        <w:t>.  Les deuxième, troisième et quatrième paragraphes de l</w:t>
      </w:r>
      <w:r w:rsidR="00603708">
        <w:rPr>
          <w:lang w:val="fr-FR"/>
        </w:rPr>
        <w:t>’</w:t>
      </w:r>
      <w:r w:rsidRPr="00D26D31">
        <w:rPr>
          <w:lang w:val="fr-FR"/>
        </w:rPr>
        <w:t xml:space="preserve">article 157 fixent les critères de calcul du délai de prescription ; le cinquième paragraphe prévoit un délai de prescription de trois ans </w:t>
      </w:r>
      <w:r w:rsidR="00CB6D64">
        <w:rPr>
          <w:lang w:val="fr-FR"/>
        </w:rPr>
        <w:t xml:space="preserve">pour une infraction pénale </w:t>
      </w:r>
      <w:r w:rsidRPr="00D26D31">
        <w:rPr>
          <w:lang w:val="fr-FR"/>
        </w:rPr>
        <w:t>si celle-ci n</w:t>
      </w:r>
      <w:r w:rsidR="00603708">
        <w:rPr>
          <w:lang w:val="fr-FR"/>
        </w:rPr>
        <w:t>’</w:t>
      </w:r>
      <w:r w:rsidRPr="00D26D31">
        <w:rPr>
          <w:lang w:val="fr-FR"/>
        </w:rPr>
        <w:t>est punie ni par la détention ni par une peine pécuniaire. Le sixième paragraphe double les délais de prescription, calculés à l</w:t>
      </w:r>
      <w:r w:rsidR="00603708">
        <w:rPr>
          <w:lang w:val="fr-FR"/>
        </w:rPr>
        <w:t>’</w:t>
      </w:r>
      <w:r w:rsidRPr="00D26D31">
        <w:rPr>
          <w:lang w:val="fr-FR"/>
        </w:rPr>
        <w:t>aune des paragraphes précédents, pour certains délits (</w:t>
      </w:r>
      <w:r w:rsidR="00E41FF6">
        <w:rPr>
          <w:lang w:val="fr-FR"/>
        </w:rPr>
        <w:t>dont</w:t>
      </w:r>
      <w:r w:rsidRPr="00D26D31">
        <w:rPr>
          <w:lang w:val="fr-FR"/>
        </w:rPr>
        <w:t xml:space="preserve"> </w:t>
      </w:r>
      <w:r w:rsidR="00E41FF6">
        <w:rPr>
          <w:lang w:val="fr-FR"/>
        </w:rPr>
        <w:t>l</w:t>
      </w:r>
      <w:r w:rsidR="00603708">
        <w:rPr>
          <w:lang w:val="fr-FR"/>
        </w:rPr>
        <w:t>’</w:t>
      </w:r>
      <w:r w:rsidRPr="00D26D31">
        <w:rPr>
          <w:lang w:val="fr-FR"/>
        </w:rPr>
        <w:t xml:space="preserve">association de malfaiteurs de type mafieux, </w:t>
      </w:r>
      <w:r w:rsidR="00E41FF6">
        <w:rPr>
          <w:lang w:val="fr-FR"/>
        </w:rPr>
        <w:t xml:space="preserve">la </w:t>
      </w:r>
      <w:r w:rsidRPr="00D26D31">
        <w:rPr>
          <w:lang w:val="fr-FR"/>
        </w:rPr>
        <w:t>traite d</w:t>
      </w:r>
      <w:r w:rsidR="00603708">
        <w:rPr>
          <w:lang w:val="fr-FR"/>
        </w:rPr>
        <w:t>’</w:t>
      </w:r>
      <w:r w:rsidRPr="00D26D31">
        <w:rPr>
          <w:lang w:val="fr-FR"/>
        </w:rPr>
        <w:t xml:space="preserve">êtres humains, </w:t>
      </w:r>
      <w:r w:rsidR="00E41FF6">
        <w:rPr>
          <w:lang w:val="fr-FR"/>
        </w:rPr>
        <w:t>l</w:t>
      </w:r>
      <w:r w:rsidR="00603708">
        <w:rPr>
          <w:lang w:val="fr-FR"/>
        </w:rPr>
        <w:t>’</w:t>
      </w:r>
      <w:r w:rsidRPr="00D26D31">
        <w:rPr>
          <w:lang w:val="fr-FR"/>
        </w:rPr>
        <w:t>enlèvement,</w:t>
      </w:r>
      <w:r w:rsidR="00E41FF6">
        <w:rPr>
          <w:lang w:val="fr-FR"/>
        </w:rPr>
        <w:t xml:space="preserve"> le</w:t>
      </w:r>
      <w:r w:rsidRPr="00D26D31">
        <w:rPr>
          <w:lang w:val="fr-FR"/>
        </w:rPr>
        <w:t xml:space="preserve"> trafic de drogue). Aux termes du huitième paragraphe du même article, les délits </w:t>
      </w:r>
      <w:r w:rsidR="00CB6D64">
        <w:rPr>
          <w:lang w:val="fr-FR"/>
        </w:rPr>
        <w:t>sanctionnés</w:t>
      </w:r>
      <w:r w:rsidR="00CB6D64" w:rsidRPr="00D26D31">
        <w:rPr>
          <w:lang w:val="fr-FR"/>
        </w:rPr>
        <w:t xml:space="preserve"> </w:t>
      </w:r>
      <w:r w:rsidRPr="00D26D31">
        <w:rPr>
          <w:lang w:val="fr-FR"/>
        </w:rPr>
        <w:t>par la peine d</w:t>
      </w:r>
      <w:r w:rsidR="00603708">
        <w:rPr>
          <w:lang w:val="fr-FR"/>
        </w:rPr>
        <w:t>’</w:t>
      </w:r>
      <w:r w:rsidRPr="00D26D31">
        <w:rPr>
          <w:lang w:val="fr-FR"/>
        </w:rPr>
        <w:t>emprisonnement à perpétuité sont imprescriptibles.</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99</w:t>
      </w:r>
      <w:r>
        <w:fldChar w:fldCharType="end"/>
      </w:r>
      <w:r w:rsidRPr="00D26D31">
        <w:rPr>
          <w:lang w:val="fr-FR"/>
        </w:rPr>
        <w:t>.  L</w:t>
      </w:r>
      <w:r w:rsidR="00603708">
        <w:rPr>
          <w:lang w:val="fr-FR"/>
        </w:rPr>
        <w:t>’</w:t>
      </w:r>
      <w:r w:rsidRPr="00D26D31">
        <w:rPr>
          <w:lang w:val="fr-FR"/>
        </w:rPr>
        <w:t>accusé peut toujours renoncer expressément à la prescription (article 157 § 7 du CP).</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100</w:t>
      </w:r>
      <w:r>
        <w:fldChar w:fldCharType="end"/>
      </w:r>
      <w:r w:rsidRPr="00D26D31">
        <w:rPr>
          <w:lang w:val="fr-FR"/>
        </w:rPr>
        <w:t>.  L</w:t>
      </w:r>
      <w:r w:rsidR="00603708">
        <w:rPr>
          <w:lang w:val="fr-FR"/>
        </w:rPr>
        <w:t>’</w:t>
      </w:r>
      <w:r w:rsidRPr="00D26D31">
        <w:rPr>
          <w:lang w:val="fr-FR"/>
        </w:rPr>
        <w:t>article 158 § 1 du CP dispose que le délai de prescription court à partir de la commission de l</w:t>
      </w:r>
      <w:r w:rsidR="00603708">
        <w:rPr>
          <w:lang w:val="fr-FR"/>
        </w:rPr>
        <w:t>’</w:t>
      </w:r>
      <w:r w:rsidRPr="00D26D31">
        <w:rPr>
          <w:lang w:val="fr-FR"/>
        </w:rPr>
        <w:t>infraction pénale.</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101</w:t>
      </w:r>
      <w:r>
        <w:fldChar w:fldCharType="end"/>
      </w:r>
      <w:r w:rsidRPr="00D26D31">
        <w:rPr>
          <w:lang w:val="fr-FR"/>
        </w:rPr>
        <w:t>.  D</w:t>
      </w:r>
      <w:r w:rsidR="00603708">
        <w:rPr>
          <w:lang w:val="fr-FR"/>
        </w:rPr>
        <w:t>’</w:t>
      </w:r>
      <w:r w:rsidRPr="00D26D31">
        <w:rPr>
          <w:lang w:val="fr-FR"/>
        </w:rPr>
        <w:t>après l</w:t>
      </w:r>
      <w:r w:rsidR="00603708">
        <w:rPr>
          <w:lang w:val="fr-FR"/>
        </w:rPr>
        <w:t>’</w:t>
      </w:r>
      <w:r w:rsidRPr="00D26D31">
        <w:rPr>
          <w:lang w:val="fr-FR"/>
        </w:rPr>
        <w:t xml:space="preserve">article 160 du CP, le délai de prescription est prorogé </w:t>
      </w:r>
      <w:r w:rsidR="00CB6D64">
        <w:rPr>
          <w:lang w:val="fr-FR"/>
        </w:rPr>
        <w:t>en cas d</w:t>
      </w:r>
      <w:r w:rsidR="00603708">
        <w:rPr>
          <w:lang w:val="fr-FR"/>
        </w:rPr>
        <w:t>’</w:t>
      </w:r>
      <w:r w:rsidRPr="00D26D31">
        <w:rPr>
          <w:lang w:val="fr-FR"/>
        </w:rPr>
        <w:t xml:space="preserve">interruptions de nature procédurale, parmi lesquelles </w:t>
      </w:r>
      <w:r w:rsidR="00CB6D64">
        <w:rPr>
          <w:lang w:val="fr-FR"/>
        </w:rPr>
        <w:t xml:space="preserve">figure </w:t>
      </w:r>
      <w:r w:rsidRPr="00D26D31">
        <w:rPr>
          <w:lang w:val="fr-FR"/>
        </w:rPr>
        <w:t xml:space="preserve">le jugement de condamnation. </w:t>
      </w:r>
      <w:r w:rsidRPr="00D26D31">
        <w:rPr>
          <w:szCs w:val="24"/>
          <w:lang w:val="fr-FR" w:eastAsia="en-GB"/>
        </w:rPr>
        <w:t>Selon le deuxième paragraphe de l</w:t>
      </w:r>
      <w:r w:rsidR="00603708">
        <w:rPr>
          <w:szCs w:val="24"/>
          <w:lang w:val="fr-FR" w:eastAsia="en-GB"/>
        </w:rPr>
        <w:t>’</w:t>
      </w:r>
      <w:r w:rsidRPr="00D26D31">
        <w:rPr>
          <w:szCs w:val="24"/>
          <w:lang w:val="fr-FR" w:eastAsia="en-GB"/>
        </w:rPr>
        <w:t>article 161, exception faite de certains délits qui ne sont pas pertinents en l</w:t>
      </w:r>
      <w:r w:rsidR="00603708">
        <w:rPr>
          <w:szCs w:val="24"/>
          <w:lang w:val="fr-FR" w:eastAsia="en-GB"/>
        </w:rPr>
        <w:t>’</w:t>
      </w:r>
      <w:r w:rsidRPr="00D26D31">
        <w:rPr>
          <w:szCs w:val="24"/>
          <w:lang w:val="fr-FR" w:eastAsia="en-GB"/>
        </w:rPr>
        <w:t xml:space="preserve">espèce, lesdites interruptions ne peuvent pas </w:t>
      </w:r>
      <w:r w:rsidR="00CB6D64">
        <w:rPr>
          <w:szCs w:val="24"/>
          <w:lang w:val="fr-FR" w:eastAsia="en-GB"/>
        </w:rPr>
        <w:t>prolonger le</w:t>
      </w:r>
      <w:r w:rsidRPr="00D26D31">
        <w:rPr>
          <w:szCs w:val="24"/>
          <w:lang w:val="fr-FR" w:eastAsia="en-GB"/>
        </w:rPr>
        <w:t xml:space="preserve"> délai – calculé à l</w:t>
      </w:r>
      <w:r w:rsidR="00603708">
        <w:rPr>
          <w:szCs w:val="24"/>
          <w:lang w:val="fr-FR" w:eastAsia="en-GB"/>
        </w:rPr>
        <w:t>’</w:t>
      </w:r>
      <w:r w:rsidRPr="00D26D31">
        <w:rPr>
          <w:szCs w:val="24"/>
          <w:lang w:val="fr-FR" w:eastAsia="en-GB"/>
        </w:rPr>
        <w:t>aune de l</w:t>
      </w:r>
      <w:r w:rsidR="00603708">
        <w:rPr>
          <w:szCs w:val="24"/>
          <w:lang w:val="fr-FR" w:eastAsia="en-GB"/>
        </w:rPr>
        <w:t>’</w:t>
      </w:r>
      <w:r w:rsidRPr="00D26D31">
        <w:rPr>
          <w:szCs w:val="24"/>
          <w:lang w:val="fr-FR" w:eastAsia="en-GB"/>
        </w:rPr>
        <w:t>article 157 – de plus d</w:t>
      </w:r>
      <w:r w:rsidR="00603708">
        <w:rPr>
          <w:szCs w:val="24"/>
          <w:lang w:val="fr-FR" w:eastAsia="en-GB"/>
        </w:rPr>
        <w:t>’</w:t>
      </w:r>
      <w:r w:rsidRPr="00D26D31">
        <w:rPr>
          <w:szCs w:val="24"/>
          <w:lang w:val="fr-FR" w:eastAsia="en-GB"/>
        </w:rPr>
        <w:t>un quart et, dans certains cas, de plus de la moitié (dans certains cas de récidive), de plus de deux tiers (dans le cas de récidive réitérée) ou de plus du double (si l</w:t>
      </w:r>
      <w:r w:rsidR="00603708">
        <w:rPr>
          <w:szCs w:val="24"/>
          <w:lang w:val="fr-FR" w:eastAsia="en-GB"/>
        </w:rPr>
        <w:t>’</w:t>
      </w:r>
      <w:r w:rsidRPr="00D26D31">
        <w:rPr>
          <w:szCs w:val="24"/>
          <w:lang w:val="fr-FR" w:eastAsia="en-GB"/>
        </w:rPr>
        <w:t>auteur de l</w:t>
      </w:r>
      <w:r w:rsidR="00603708">
        <w:rPr>
          <w:szCs w:val="24"/>
          <w:lang w:val="fr-FR" w:eastAsia="en-GB"/>
        </w:rPr>
        <w:t>’</w:t>
      </w:r>
      <w:r w:rsidRPr="00D26D31">
        <w:rPr>
          <w:szCs w:val="24"/>
          <w:lang w:val="fr-FR" w:eastAsia="en-GB"/>
        </w:rPr>
        <w:t>infraction est un délinquant habituel).</w:t>
      </w:r>
    </w:p>
    <w:p w:rsidR="00D26D31" w:rsidRPr="008D3288" w:rsidRDefault="00D26D31" w:rsidP="00D26D31">
      <w:pPr>
        <w:pStyle w:val="ECHRHeading2"/>
        <w:rPr>
          <w:lang w:val="fr-FR"/>
        </w:rPr>
      </w:pPr>
      <w:r w:rsidRPr="008D3288">
        <w:rPr>
          <w:lang w:val="fr-FR"/>
        </w:rPr>
        <w:t>B.  La loi n</w:t>
      </w:r>
      <w:r w:rsidRPr="008D3288">
        <w:rPr>
          <w:vertAlign w:val="superscript"/>
          <w:lang w:val="fr-FR"/>
        </w:rPr>
        <w:t>o</w:t>
      </w:r>
      <w:r w:rsidRPr="008D3288">
        <w:rPr>
          <w:lang w:val="fr-FR"/>
        </w:rPr>
        <w:t> 241 du 29 juillet 2006 (octroi d</w:t>
      </w:r>
      <w:r w:rsidR="00603708">
        <w:rPr>
          <w:lang w:val="fr-FR"/>
        </w:rPr>
        <w:t>’</w:t>
      </w:r>
      <w:r w:rsidR="00E41FF6" w:rsidRPr="008D3288">
        <w:rPr>
          <w:lang w:val="fr-FR"/>
        </w:rPr>
        <w:t>une</w:t>
      </w:r>
      <w:r w:rsidRPr="008D3288">
        <w:rPr>
          <w:lang w:val="fr-FR"/>
        </w:rPr>
        <w:t xml:space="preserve"> remise de peine)</w:t>
      </w:r>
    </w:p>
    <w:p w:rsidR="00D26D31" w:rsidRPr="008D3288" w:rsidRDefault="00D26D31" w:rsidP="00D26D31">
      <w:pPr>
        <w:pStyle w:val="ECHRPara"/>
        <w:rPr>
          <w:lang w:val="fr-FR"/>
        </w:rPr>
      </w:pPr>
      <w:r w:rsidRPr="008D3288">
        <w:fldChar w:fldCharType="begin"/>
      </w:r>
      <w:r w:rsidRPr="008D3288">
        <w:rPr>
          <w:lang w:val="fr-FR"/>
        </w:rPr>
        <w:instrText xml:space="preserve"> SEQ level0 \*arabic </w:instrText>
      </w:r>
      <w:r w:rsidRPr="008D3288">
        <w:fldChar w:fldCharType="separate"/>
      </w:r>
      <w:r w:rsidR="00B378F9">
        <w:rPr>
          <w:noProof/>
          <w:lang w:val="fr-FR"/>
        </w:rPr>
        <w:t>102</w:t>
      </w:r>
      <w:r w:rsidRPr="008D3288">
        <w:fldChar w:fldCharType="end"/>
      </w:r>
      <w:r w:rsidRPr="008D3288">
        <w:rPr>
          <w:lang w:val="fr-FR"/>
        </w:rPr>
        <w:t>.  La loi n</w:t>
      </w:r>
      <w:r w:rsidRPr="008D3288">
        <w:rPr>
          <w:vertAlign w:val="superscript"/>
          <w:lang w:val="fr-FR"/>
        </w:rPr>
        <w:t>o</w:t>
      </w:r>
      <w:r w:rsidRPr="008D3288">
        <w:rPr>
          <w:lang w:val="fr-FR"/>
        </w:rPr>
        <w:t xml:space="preserve"> 241 du 29 juillet 2006 établit les conditions de l</w:t>
      </w:r>
      <w:r w:rsidR="00603708">
        <w:rPr>
          <w:lang w:val="fr-FR"/>
        </w:rPr>
        <w:t>’</w:t>
      </w:r>
      <w:r w:rsidRPr="008D3288">
        <w:rPr>
          <w:lang w:val="fr-FR"/>
        </w:rPr>
        <w:t>octroi d</w:t>
      </w:r>
      <w:r w:rsidR="00603708">
        <w:rPr>
          <w:lang w:val="fr-FR"/>
        </w:rPr>
        <w:t>’</w:t>
      </w:r>
      <w:r w:rsidRPr="008D3288">
        <w:rPr>
          <w:lang w:val="fr-FR"/>
        </w:rPr>
        <w:t>une remise générale des peines (</w:t>
      </w:r>
      <w:r w:rsidRPr="008D3288">
        <w:rPr>
          <w:rStyle w:val="ju-005fpara--char"/>
          <w:i/>
          <w:iCs/>
          <w:lang w:val="fr-FR"/>
        </w:rPr>
        <w:t>indulto</w:t>
      </w:r>
      <w:r w:rsidRPr="008D3288">
        <w:rPr>
          <w:lang w:val="fr-FR"/>
        </w:rPr>
        <w:t>). Elle contient un seul article qui, dans sa partie pertinente en l</w:t>
      </w:r>
      <w:r w:rsidR="00603708">
        <w:rPr>
          <w:lang w:val="fr-FR"/>
        </w:rPr>
        <w:t>’</w:t>
      </w:r>
      <w:r w:rsidRPr="008D3288">
        <w:rPr>
          <w:lang w:val="fr-FR"/>
        </w:rPr>
        <w:t>espèce, se lit comme suit :</w:t>
      </w:r>
    </w:p>
    <w:p w:rsidR="00D26D31" w:rsidRPr="00D26D31" w:rsidRDefault="00D26D31" w:rsidP="00D26D31">
      <w:pPr>
        <w:pStyle w:val="ECHRParaQuote"/>
        <w:rPr>
          <w:lang w:val="fr-FR"/>
        </w:rPr>
      </w:pPr>
      <w:r w:rsidRPr="008D3288">
        <w:rPr>
          <w:lang w:val="fr-FR"/>
        </w:rPr>
        <w:t>« </w:t>
      </w:r>
      <w:r w:rsidR="002C0B0F" w:rsidRPr="008D3288">
        <w:rPr>
          <w:lang w:val="fr-FR"/>
        </w:rPr>
        <w:t>1.  </w:t>
      </w:r>
      <w:r w:rsidRPr="008D3288">
        <w:rPr>
          <w:lang w:val="fr-FR"/>
        </w:rPr>
        <w:t>Pour tous les délits commis jusqu</w:t>
      </w:r>
      <w:r w:rsidR="00603708">
        <w:rPr>
          <w:lang w:val="fr-FR"/>
        </w:rPr>
        <w:t>’</w:t>
      </w:r>
      <w:r w:rsidRPr="008D3288">
        <w:rPr>
          <w:lang w:val="fr-FR"/>
        </w:rPr>
        <w:t>au 2 mai 2006, il est octroyé une remise de peine de trois ans maximum s</w:t>
      </w:r>
      <w:r w:rsidR="00603708">
        <w:rPr>
          <w:lang w:val="fr-FR"/>
        </w:rPr>
        <w:t>’</w:t>
      </w:r>
      <w:r w:rsidRPr="008D3288">
        <w:rPr>
          <w:lang w:val="fr-FR"/>
        </w:rPr>
        <w:t>agissant d</w:t>
      </w:r>
      <w:r w:rsidR="00603708">
        <w:rPr>
          <w:lang w:val="fr-FR"/>
        </w:rPr>
        <w:t>’</w:t>
      </w:r>
      <w:r w:rsidRPr="008D3288">
        <w:rPr>
          <w:lang w:val="fr-FR"/>
        </w:rPr>
        <w:t>une peine d</w:t>
      </w:r>
      <w:r w:rsidR="00603708">
        <w:rPr>
          <w:lang w:val="fr-FR"/>
        </w:rPr>
        <w:t>’</w:t>
      </w:r>
      <w:r w:rsidRPr="008D3288">
        <w:rPr>
          <w:lang w:val="fr-FR"/>
        </w:rPr>
        <w:t>emprisonnement et de 10 000 </w:t>
      </w:r>
      <w:r w:rsidR="00E41FF6" w:rsidRPr="008D3288">
        <w:rPr>
          <w:lang w:val="fr-FR"/>
        </w:rPr>
        <w:t>euros</w:t>
      </w:r>
      <w:r w:rsidRPr="008D3288">
        <w:rPr>
          <w:lang w:val="fr-FR"/>
        </w:rPr>
        <w:t xml:space="preserve"> maximum s</w:t>
      </w:r>
      <w:r w:rsidR="00603708">
        <w:rPr>
          <w:lang w:val="fr-FR"/>
        </w:rPr>
        <w:t>’</w:t>
      </w:r>
      <w:r w:rsidRPr="008D3288">
        <w:rPr>
          <w:lang w:val="fr-FR"/>
        </w:rPr>
        <w:t>agissant d</w:t>
      </w:r>
      <w:r w:rsidR="00603708">
        <w:rPr>
          <w:lang w:val="fr-FR"/>
        </w:rPr>
        <w:t>’</w:t>
      </w:r>
      <w:r w:rsidRPr="008D3288">
        <w:rPr>
          <w:lang w:val="fr-FR"/>
        </w:rPr>
        <w:t>une peine pécuniaire seule ou en conjonction avec une peine d</w:t>
      </w:r>
      <w:r w:rsidR="00603708">
        <w:rPr>
          <w:lang w:val="fr-FR"/>
        </w:rPr>
        <w:t>’</w:t>
      </w:r>
      <w:r w:rsidRPr="008D3288">
        <w:rPr>
          <w:lang w:val="fr-FR"/>
        </w:rPr>
        <w:t>emprisonnement (...) »</w:t>
      </w:r>
    </w:p>
    <w:p w:rsidR="008226E1" w:rsidRPr="00C139EB" w:rsidRDefault="00D66D8D" w:rsidP="00D66D8D">
      <w:pPr>
        <w:pStyle w:val="ECHRHeading2"/>
        <w:rPr>
          <w:lang w:val="fr-FR"/>
        </w:rPr>
      </w:pPr>
      <w:r w:rsidRPr="00C139EB">
        <w:rPr>
          <w:lang w:val="fr-FR"/>
        </w:rPr>
        <w:t>C</w:t>
      </w:r>
      <w:r w:rsidR="00D26D31" w:rsidRPr="00C139EB">
        <w:rPr>
          <w:lang w:val="fr-FR"/>
        </w:rPr>
        <w:t>. </w:t>
      </w:r>
      <w:r w:rsidR="002C0B0F" w:rsidRPr="00C139EB">
        <w:rPr>
          <w:lang w:val="fr-FR"/>
        </w:rPr>
        <w:t> </w:t>
      </w:r>
      <w:r w:rsidR="008226E1" w:rsidRPr="00C139EB">
        <w:rPr>
          <w:lang w:val="fr-FR"/>
        </w:rPr>
        <w:t>L</w:t>
      </w:r>
      <w:r w:rsidR="00603708">
        <w:rPr>
          <w:lang w:val="fr-FR"/>
        </w:rPr>
        <w:t>’</w:t>
      </w:r>
      <w:r w:rsidR="008226E1" w:rsidRPr="00C139EB">
        <w:rPr>
          <w:lang w:val="fr-FR"/>
        </w:rPr>
        <w:t xml:space="preserve">action civile en </w:t>
      </w:r>
      <w:r w:rsidR="003F0FDA">
        <w:rPr>
          <w:lang w:val="fr-FR"/>
        </w:rPr>
        <w:t xml:space="preserve">lien avec </w:t>
      </w:r>
      <w:r w:rsidR="008226E1" w:rsidRPr="00C139EB">
        <w:rPr>
          <w:lang w:val="fr-FR"/>
        </w:rPr>
        <w:t>une infraction pénale</w:t>
      </w:r>
    </w:p>
    <w:p w:rsidR="002C0B0F" w:rsidRDefault="00130FEB">
      <w:pPr>
        <w:pStyle w:val="ECHRPara"/>
        <w:rPr>
          <w:lang w:val="fr-FR"/>
        </w:rPr>
      </w:pPr>
      <w:r w:rsidRPr="00D774FF">
        <w:rPr>
          <w:lang w:val="fr-FR"/>
        </w:rPr>
        <w:fldChar w:fldCharType="begin"/>
      </w:r>
      <w:r w:rsidRPr="00C139EB">
        <w:rPr>
          <w:lang w:val="fr-FR"/>
        </w:rPr>
        <w:instrText xml:space="preserve"> SEQ level0 \*arabic </w:instrText>
      </w:r>
      <w:r w:rsidRPr="00D774FF">
        <w:rPr>
          <w:lang w:val="fr-FR"/>
        </w:rPr>
        <w:fldChar w:fldCharType="separate"/>
      </w:r>
      <w:r w:rsidR="00B378F9">
        <w:rPr>
          <w:noProof/>
          <w:lang w:val="fr-FR"/>
        </w:rPr>
        <w:t>103</w:t>
      </w:r>
      <w:r w:rsidRPr="00D774FF">
        <w:rPr>
          <w:lang w:val="fr-FR"/>
        </w:rPr>
        <w:fldChar w:fldCharType="end"/>
      </w:r>
      <w:r w:rsidRPr="00C139EB">
        <w:rPr>
          <w:lang w:val="fr-FR"/>
        </w:rPr>
        <w:t>.  </w:t>
      </w:r>
      <w:r w:rsidR="008226E1" w:rsidRPr="00C139EB">
        <w:rPr>
          <w:lang w:val="fr-FR"/>
        </w:rPr>
        <w:t>D</w:t>
      </w:r>
      <w:r w:rsidR="00603708">
        <w:rPr>
          <w:lang w:val="fr-FR"/>
        </w:rPr>
        <w:t>’</w:t>
      </w:r>
      <w:r w:rsidR="008226E1" w:rsidRPr="00C139EB">
        <w:rPr>
          <w:lang w:val="fr-FR"/>
        </w:rPr>
        <w:t xml:space="preserve">après les articles 75 et 76 du code de procédure pénale, </w:t>
      </w:r>
      <w:r w:rsidR="002C0B0F" w:rsidRPr="00C139EB">
        <w:rPr>
          <w:lang w:val="fr-FR"/>
        </w:rPr>
        <w:t xml:space="preserve">toute personne </w:t>
      </w:r>
      <w:r w:rsidR="008B5640" w:rsidRPr="000B5793">
        <w:rPr>
          <w:lang w:val="fr-FR"/>
        </w:rPr>
        <w:t>ayant</w:t>
      </w:r>
      <w:r w:rsidR="002C0B0F" w:rsidRPr="00C139EB">
        <w:rPr>
          <w:lang w:val="fr-FR"/>
        </w:rPr>
        <w:t xml:space="preserve"> subi un </w:t>
      </w:r>
      <w:r w:rsidR="008B5640" w:rsidRPr="000B5793">
        <w:rPr>
          <w:lang w:val="fr-FR"/>
        </w:rPr>
        <w:t>préjudice résultant</w:t>
      </w:r>
      <w:r w:rsidR="002C0B0F" w:rsidRPr="00C139EB">
        <w:rPr>
          <w:lang w:val="fr-FR"/>
        </w:rPr>
        <w:t xml:space="preserve"> d</w:t>
      </w:r>
      <w:r w:rsidR="00603708">
        <w:rPr>
          <w:lang w:val="fr-FR"/>
        </w:rPr>
        <w:t>’</w:t>
      </w:r>
      <w:r w:rsidR="002C0B0F" w:rsidRPr="00C139EB">
        <w:rPr>
          <w:lang w:val="fr-FR"/>
        </w:rPr>
        <w:t>une infraction pénale peut introduire une action civile devant les juridictions civiles ou devant les juridictions pénales.</w:t>
      </w:r>
    </w:p>
    <w:p w:rsidR="0032468C" w:rsidRDefault="008226E1" w:rsidP="008226E1">
      <w:pPr>
        <w:pStyle w:val="ECHRPara"/>
        <w:rPr>
          <w:lang w:val="fr-FR"/>
        </w:rPr>
      </w:pPr>
      <w:r w:rsidRPr="00600F25">
        <w:rPr>
          <w:lang w:val="fr-FR"/>
        </w:rPr>
        <w:fldChar w:fldCharType="begin"/>
      </w:r>
      <w:r w:rsidRPr="003F0FDA">
        <w:rPr>
          <w:lang w:val="fr-FR"/>
        </w:rPr>
        <w:instrText xml:space="preserve"> SEQ level0 \*arabic </w:instrText>
      </w:r>
      <w:r w:rsidRPr="00600F25">
        <w:rPr>
          <w:lang w:val="fr-FR"/>
        </w:rPr>
        <w:fldChar w:fldCharType="separate"/>
      </w:r>
      <w:r w:rsidR="00B378F9">
        <w:rPr>
          <w:noProof/>
          <w:lang w:val="fr-FR"/>
        </w:rPr>
        <w:t>104</w:t>
      </w:r>
      <w:r w:rsidRPr="00600F25">
        <w:rPr>
          <w:lang w:val="fr-FR"/>
        </w:rPr>
        <w:fldChar w:fldCharType="end"/>
      </w:r>
      <w:r w:rsidRPr="003F0FDA">
        <w:rPr>
          <w:lang w:val="fr-FR"/>
        </w:rPr>
        <w:t>.</w:t>
      </w:r>
      <w:r w:rsidR="008B5640" w:rsidRPr="003F0FDA">
        <w:rPr>
          <w:lang w:val="fr-FR"/>
        </w:rPr>
        <w:t>  </w:t>
      </w:r>
      <w:r w:rsidRPr="003F0FDA">
        <w:rPr>
          <w:lang w:val="fr-FR"/>
        </w:rPr>
        <w:t xml:space="preserve">Devant les juridictions pénales, </w:t>
      </w:r>
      <w:r w:rsidR="00130FEB" w:rsidRPr="003F0FDA">
        <w:rPr>
          <w:lang w:val="fr-FR"/>
        </w:rPr>
        <w:t>l</w:t>
      </w:r>
      <w:r w:rsidR="00603708">
        <w:rPr>
          <w:lang w:val="fr-FR"/>
        </w:rPr>
        <w:t>’</w:t>
      </w:r>
      <w:r w:rsidR="00130FEB" w:rsidRPr="003F0FDA">
        <w:rPr>
          <w:lang w:val="fr-FR"/>
        </w:rPr>
        <w:t>action civile est</w:t>
      </w:r>
      <w:r w:rsidRPr="003F0FDA">
        <w:rPr>
          <w:lang w:val="fr-FR"/>
        </w:rPr>
        <w:t xml:space="preserve"> introduite </w:t>
      </w:r>
      <w:r w:rsidR="003F0FDA" w:rsidRPr="000B5793">
        <w:rPr>
          <w:lang w:val="fr-FR"/>
        </w:rPr>
        <w:t>par la voie</w:t>
      </w:r>
      <w:r w:rsidRPr="003F0FDA">
        <w:rPr>
          <w:lang w:val="fr-FR"/>
        </w:rPr>
        <w:t xml:space="preserve"> de la constitution de partie civile dans la procédure pénale.</w:t>
      </w:r>
    </w:p>
    <w:p w:rsidR="008F512D" w:rsidRDefault="008226E1" w:rsidP="00D66D8D">
      <w:pPr>
        <w:pStyle w:val="ECHRHeading2"/>
        <w:rPr>
          <w:lang w:val="fr-FR"/>
        </w:rPr>
      </w:pPr>
      <w:r>
        <w:rPr>
          <w:lang w:val="fr-FR"/>
        </w:rPr>
        <w:t>D.</w:t>
      </w:r>
      <w:r w:rsidR="008B5640">
        <w:rPr>
          <w:lang w:val="fr-FR"/>
        </w:rPr>
        <w:t>  </w:t>
      </w:r>
      <w:r w:rsidR="00443AEF">
        <w:rPr>
          <w:lang w:val="fr-FR"/>
        </w:rPr>
        <w:t xml:space="preserve">Rapport </w:t>
      </w:r>
      <w:r w:rsidR="006D5479">
        <w:rPr>
          <w:lang w:val="fr-FR"/>
        </w:rPr>
        <w:t>sur l</w:t>
      </w:r>
      <w:r w:rsidR="00603708">
        <w:rPr>
          <w:lang w:val="fr-FR"/>
        </w:rPr>
        <w:t>’</w:t>
      </w:r>
      <w:r w:rsidR="006D5479">
        <w:rPr>
          <w:lang w:val="fr-FR"/>
        </w:rPr>
        <w:t xml:space="preserve">administration de la justice </w:t>
      </w:r>
      <w:r w:rsidR="008B5640">
        <w:rPr>
          <w:lang w:val="fr-FR"/>
        </w:rPr>
        <w:t>pour l</w:t>
      </w:r>
      <w:r w:rsidR="00603708">
        <w:rPr>
          <w:lang w:val="fr-FR"/>
        </w:rPr>
        <w:t>’</w:t>
      </w:r>
      <w:r w:rsidR="008B5640">
        <w:rPr>
          <w:lang w:val="fr-FR"/>
        </w:rPr>
        <w:t>année</w:t>
      </w:r>
      <w:r w:rsidR="006D5479">
        <w:rPr>
          <w:lang w:val="fr-FR"/>
        </w:rPr>
        <w:t xml:space="preserve"> </w:t>
      </w:r>
      <w:r w:rsidR="00443AEF">
        <w:rPr>
          <w:lang w:val="fr-FR"/>
        </w:rPr>
        <w:t>2013</w:t>
      </w:r>
    </w:p>
    <w:p w:rsidR="00093713" w:rsidRDefault="006D5479" w:rsidP="00BF3EFF">
      <w:pPr>
        <w:ind w:firstLine="232"/>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105</w:t>
      </w:r>
      <w:r>
        <w:rPr>
          <w:lang w:val="fr-FR"/>
        </w:rPr>
        <w:fldChar w:fldCharType="end"/>
      </w:r>
      <w:r>
        <w:rPr>
          <w:lang w:val="fr-FR"/>
        </w:rPr>
        <w:t>.  </w:t>
      </w:r>
      <w:r w:rsidR="00093713">
        <w:rPr>
          <w:lang w:val="fr-FR"/>
        </w:rPr>
        <w:t>Le Rapport sur l</w:t>
      </w:r>
      <w:r w:rsidR="00603708">
        <w:rPr>
          <w:lang w:val="fr-FR"/>
        </w:rPr>
        <w:t>’</w:t>
      </w:r>
      <w:r w:rsidR="00093713">
        <w:rPr>
          <w:lang w:val="fr-FR"/>
        </w:rPr>
        <w:t xml:space="preserve">administration de la justice </w:t>
      </w:r>
      <w:r w:rsidR="008B5640">
        <w:rPr>
          <w:lang w:val="fr-FR"/>
        </w:rPr>
        <w:t xml:space="preserve">pour </w:t>
      </w:r>
      <w:r w:rsidR="00093713">
        <w:rPr>
          <w:lang w:val="fr-FR"/>
        </w:rPr>
        <w:t>l</w:t>
      </w:r>
      <w:r w:rsidR="00603708">
        <w:rPr>
          <w:lang w:val="fr-FR"/>
        </w:rPr>
        <w:t>’</w:t>
      </w:r>
      <w:r w:rsidR="00093713">
        <w:rPr>
          <w:lang w:val="fr-FR"/>
        </w:rPr>
        <w:t>année 2013</w:t>
      </w:r>
      <w:r w:rsidR="00093713" w:rsidRPr="00093713">
        <w:rPr>
          <w:lang w:val="fr-FR"/>
        </w:rPr>
        <w:t xml:space="preserve"> </w:t>
      </w:r>
      <w:r w:rsidR="00093713">
        <w:rPr>
          <w:lang w:val="fr-FR"/>
        </w:rPr>
        <w:t>du premier président de la Cour de cassation, présenté le 24 janvier 2014 lors de l</w:t>
      </w:r>
      <w:r w:rsidR="00603708">
        <w:rPr>
          <w:lang w:val="fr-FR"/>
        </w:rPr>
        <w:t>’</w:t>
      </w:r>
      <w:r w:rsidR="00093713">
        <w:rPr>
          <w:lang w:val="fr-FR"/>
        </w:rPr>
        <w:t>ouverture de l</w:t>
      </w:r>
      <w:r w:rsidR="00603708">
        <w:rPr>
          <w:lang w:val="fr-FR"/>
        </w:rPr>
        <w:t>’</w:t>
      </w:r>
      <w:r w:rsidR="00093713">
        <w:rPr>
          <w:lang w:val="fr-FR"/>
        </w:rPr>
        <w:t xml:space="preserve">année judiciaire, se lit ainsi dans sa partie </w:t>
      </w:r>
      <w:r w:rsidR="007C3564">
        <w:rPr>
          <w:lang w:val="fr-FR"/>
        </w:rPr>
        <w:t xml:space="preserve">pertinente </w:t>
      </w:r>
      <w:r w:rsidR="008B5640">
        <w:rPr>
          <w:lang w:val="fr-FR"/>
        </w:rPr>
        <w:t>en l</w:t>
      </w:r>
      <w:r w:rsidR="00603708">
        <w:rPr>
          <w:lang w:val="fr-FR"/>
        </w:rPr>
        <w:t>’</w:t>
      </w:r>
      <w:r w:rsidR="008B5640">
        <w:rPr>
          <w:lang w:val="fr-FR"/>
        </w:rPr>
        <w:t xml:space="preserve">espèce </w:t>
      </w:r>
      <w:r w:rsidR="00093713">
        <w:rPr>
          <w:lang w:val="fr-FR"/>
        </w:rPr>
        <w:t>(</w:t>
      </w:r>
      <w:r w:rsidR="007C3564">
        <w:rPr>
          <w:lang w:val="fr-FR"/>
        </w:rPr>
        <w:t xml:space="preserve">page 29, </w:t>
      </w:r>
      <w:r w:rsidR="00093713">
        <w:rPr>
          <w:lang w:val="fr-FR"/>
        </w:rPr>
        <w:t xml:space="preserve">traduction </w:t>
      </w:r>
      <w:r w:rsidR="003F0FDA">
        <w:rPr>
          <w:lang w:val="fr-FR"/>
        </w:rPr>
        <w:t>du</w:t>
      </w:r>
      <w:r w:rsidR="00093713">
        <w:rPr>
          <w:lang w:val="fr-FR"/>
        </w:rPr>
        <w:t xml:space="preserve"> greffe)</w:t>
      </w:r>
      <w:r w:rsidR="003F0FDA">
        <w:rPr>
          <w:lang w:val="fr-FR"/>
        </w:rPr>
        <w:t> :</w:t>
      </w:r>
    </w:p>
    <w:p w:rsidR="00603708" w:rsidRDefault="00BF3EFF" w:rsidP="00093713">
      <w:pPr>
        <w:pStyle w:val="ECHRParaQuote"/>
        <w:rPr>
          <w:lang w:val="fr-FR"/>
        </w:rPr>
      </w:pPr>
      <w:r>
        <w:rPr>
          <w:lang w:val="fr-FR"/>
        </w:rPr>
        <w:t>Depuis 1989</w:t>
      </w:r>
      <w:r w:rsidR="008B5640">
        <w:rPr>
          <w:lang w:val="fr-FR"/>
        </w:rPr>
        <w:t>,</w:t>
      </w:r>
      <w:r>
        <w:rPr>
          <w:lang w:val="fr-FR"/>
        </w:rPr>
        <w:t xml:space="preserve"> [</w:t>
      </w:r>
      <w:r w:rsidR="0032468C">
        <w:rPr>
          <w:lang w:val="fr-FR"/>
        </w:rPr>
        <w:t>...</w:t>
      </w:r>
      <w:r>
        <w:rPr>
          <w:lang w:val="fr-FR"/>
        </w:rPr>
        <w:t>] l</w:t>
      </w:r>
      <w:r w:rsidR="00603708">
        <w:rPr>
          <w:lang w:val="fr-FR"/>
        </w:rPr>
        <w:t>’</w:t>
      </w:r>
      <w:r>
        <w:rPr>
          <w:lang w:val="fr-FR"/>
        </w:rPr>
        <w:t xml:space="preserve">Italie a ratifié la </w:t>
      </w:r>
      <w:r w:rsidR="000E4F83">
        <w:rPr>
          <w:lang w:val="fr-FR"/>
        </w:rPr>
        <w:t>Convention des Nations unies contre la torture, s</w:t>
      </w:r>
      <w:r w:rsidR="00603708">
        <w:rPr>
          <w:lang w:val="fr-FR"/>
        </w:rPr>
        <w:t>’</w:t>
      </w:r>
      <w:r w:rsidR="000E4F83">
        <w:rPr>
          <w:lang w:val="fr-FR"/>
        </w:rPr>
        <w:t xml:space="preserve">engageant [ainsi] à introduire dans notre système juridique cette infraction pénale </w:t>
      </w:r>
      <w:r w:rsidR="000E4F83" w:rsidRPr="003F0FDA">
        <w:rPr>
          <w:lang w:val="fr-FR"/>
        </w:rPr>
        <w:t xml:space="preserve">très grave, </w:t>
      </w:r>
      <w:r w:rsidR="003F0FDA" w:rsidRPr="003F0FDA">
        <w:rPr>
          <w:lang w:val="fr-FR"/>
        </w:rPr>
        <w:t xml:space="preserve">et </w:t>
      </w:r>
      <w:r w:rsidR="00AB0021" w:rsidRPr="003F0FDA">
        <w:rPr>
          <w:lang w:val="fr-FR"/>
        </w:rPr>
        <w:t>établissant son imprescriptibilité ainsi que l</w:t>
      </w:r>
      <w:r w:rsidR="00603708">
        <w:rPr>
          <w:lang w:val="fr-FR"/>
        </w:rPr>
        <w:t>’</w:t>
      </w:r>
      <w:r w:rsidR="00AB0021" w:rsidRPr="003F0FDA">
        <w:rPr>
          <w:lang w:val="fr-FR"/>
        </w:rPr>
        <w:t>inapplicabilité de mesures comme l</w:t>
      </w:r>
      <w:r w:rsidR="00603708">
        <w:rPr>
          <w:lang w:val="fr-FR"/>
        </w:rPr>
        <w:t>’</w:t>
      </w:r>
      <w:r w:rsidR="00AB0021" w:rsidRPr="003F0FDA">
        <w:rPr>
          <w:lang w:val="fr-FR"/>
        </w:rPr>
        <w:t>amnistie et la gr</w:t>
      </w:r>
      <w:r w:rsidR="00AB0021" w:rsidRPr="003F0FDA">
        <w:rPr>
          <w:rFonts w:cstheme="minorHAnsi"/>
          <w:lang w:val="fr-FR"/>
        </w:rPr>
        <w:t>â</w:t>
      </w:r>
      <w:r w:rsidR="00AB0021" w:rsidRPr="003F0FDA">
        <w:rPr>
          <w:lang w:val="fr-FR"/>
        </w:rPr>
        <w:t>ce. Vingt-cinq ans après rien n</w:t>
      </w:r>
      <w:r w:rsidR="00603708">
        <w:rPr>
          <w:lang w:val="fr-FR"/>
        </w:rPr>
        <w:t>’</w:t>
      </w:r>
      <w:r w:rsidR="00AB0021" w:rsidRPr="003F0FDA">
        <w:rPr>
          <w:lang w:val="fr-FR"/>
        </w:rPr>
        <w:t>a été fait, de sorte que les actes de torture qu</w:t>
      </w:r>
      <w:r w:rsidR="008B5640" w:rsidRPr="003F0FDA">
        <w:rPr>
          <w:lang w:val="fr-FR"/>
        </w:rPr>
        <w:t>i</w:t>
      </w:r>
      <w:r w:rsidR="00AB0021" w:rsidRPr="003F0FDA">
        <w:rPr>
          <w:lang w:val="fr-FR"/>
        </w:rPr>
        <w:t xml:space="preserve"> sont commis</w:t>
      </w:r>
      <w:r w:rsidR="003F0FDA" w:rsidRPr="003F0FDA">
        <w:rPr>
          <w:lang w:val="fr-FR"/>
        </w:rPr>
        <w:t xml:space="preserve"> en Italie</w:t>
      </w:r>
      <w:r w:rsidR="00AB0021" w:rsidRPr="003F0FDA">
        <w:rPr>
          <w:lang w:val="fr-FR"/>
        </w:rPr>
        <w:t xml:space="preserve"> tombent inévitablement </w:t>
      </w:r>
      <w:r w:rsidR="003F0FDA" w:rsidRPr="003F0FDA">
        <w:rPr>
          <w:lang w:val="fr-FR"/>
        </w:rPr>
        <w:t>sous l</w:t>
      </w:r>
      <w:r w:rsidR="00603708">
        <w:rPr>
          <w:lang w:val="fr-FR"/>
        </w:rPr>
        <w:t>’</w:t>
      </w:r>
      <w:r w:rsidR="003F0FDA" w:rsidRPr="003F0FDA">
        <w:rPr>
          <w:lang w:val="fr-FR"/>
        </w:rPr>
        <w:t xml:space="preserve">empire de la </w:t>
      </w:r>
      <w:r w:rsidR="00AB0021" w:rsidRPr="003F0FDA">
        <w:rPr>
          <w:lang w:val="fr-FR"/>
        </w:rPr>
        <w:t>prescription</w:t>
      </w:r>
      <w:r w:rsidR="007C3564" w:rsidRPr="003F0FDA">
        <w:rPr>
          <w:lang w:val="fr-FR"/>
        </w:rPr>
        <w:t>, faute d</w:t>
      </w:r>
      <w:r w:rsidR="00603708">
        <w:rPr>
          <w:lang w:val="fr-FR"/>
        </w:rPr>
        <w:t>’</w:t>
      </w:r>
      <w:r w:rsidR="007C3564" w:rsidRPr="003F0FDA">
        <w:rPr>
          <w:lang w:val="fr-FR"/>
        </w:rPr>
        <w:t xml:space="preserve">une loi </w:t>
      </w:r>
      <w:r w:rsidR="008A5BBA" w:rsidRPr="003F0FDA">
        <w:rPr>
          <w:lang w:val="fr-FR"/>
        </w:rPr>
        <w:t>sanctionn</w:t>
      </w:r>
      <w:r w:rsidR="003F0FDA" w:rsidRPr="003F0FDA">
        <w:rPr>
          <w:lang w:val="fr-FR"/>
        </w:rPr>
        <w:t>ant</w:t>
      </w:r>
      <w:r w:rsidR="008A5BBA" w:rsidRPr="003F0FDA">
        <w:rPr>
          <w:lang w:val="fr-FR"/>
        </w:rPr>
        <w:t xml:space="preserve"> </w:t>
      </w:r>
      <w:r w:rsidR="007C3564" w:rsidRPr="003F0FDA">
        <w:rPr>
          <w:lang w:val="fr-FR"/>
        </w:rPr>
        <w:t>la torture en tant que telle</w:t>
      </w:r>
      <w:r w:rsidR="00C139EB" w:rsidRPr="003F0FDA">
        <w:rPr>
          <w:lang w:val="fr-FR"/>
        </w:rPr>
        <w:t xml:space="preserve"> </w:t>
      </w:r>
      <w:r w:rsidR="003F0FDA" w:rsidRPr="003F0FDA">
        <w:rPr>
          <w:lang w:val="fr-FR"/>
        </w:rPr>
        <w:t>par l</w:t>
      </w:r>
      <w:r w:rsidR="00603708">
        <w:rPr>
          <w:lang w:val="fr-FR"/>
        </w:rPr>
        <w:t>’</w:t>
      </w:r>
      <w:r w:rsidR="003F0FDA" w:rsidRPr="003F0FDA">
        <w:rPr>
          <w:lang w:val="fr-FR"/>
        </w:rPr>
        <w:t>infliction de</w:t>
      </w:r>
      <w:r w:rsidR="007C3564" w:rsidRPr="003F0FDA">
        <w:rPr>
          <w:lang w:val="fr-FR"/>
        </w:rPr>
        <w:t xml:space="preserve"> peines adéquates </w:t>
      </w:r>
      <w:r w:rsidR="003F0FDA" w:rsidRPr="003F0FDA">
        <w:rPr>
          <w:lang w:val="fr-FR"/>
        </w:rPr>
        <w:t>proportionnées à la</w:t>
      </w:r>
      <w:r w:rsidR="007C3564" w:rsidRPr="003F0FDA">
        <w:rPr>
          <w:lang w:val="fr-FR"/>
        </w:rPr>
        <w:t xml:space="preserve"> gravité</w:t>
      </w:r>
      <w:r w:rsidR="003F0FDA" w:rsidRPr="003F0FDA">
        <w:rPr>
          <w:lang w:val="fr-FR"/>
        </w:rPr>
        <w:t xml:space="preserve"> des faits</w:t>
      </w:r>
      <w:r w:rsidR="007C3564" w:rsidRPr="003F0FDA">
        <w:rPr>
          <w:lang w:val="fr-FR"/>
        </w:rPr>
        <w:t>. »</w:t>
      </w:r>
    </w:p>
    <w:p w:rsidR="00603708" w:rsidRDefault="00411246" w:rsidP="00FB36BD">
      <w:pPr>
        <w:pStyle w:val="ECHRHeading2"/>
        <w:rPr>
          <w:lang w:val="fr-FR"/>
        </w:rPr>
      </w:pPr>
      <w:r>
        <w:rPr>
          <w:lang w:val="fr-FR"/>
        </w:rPr>
        <w:t>E</w:t>
      </w:r>
      <w:r w:rsidR="008F512D">
        <w:rPr>
          <w:lang w:val="fr-FR"/>
        </w:rPr>
        <w:t>.</w:t>
      </w:r>
      <w:r w:rsidR="008B5640">
        <w:rPr>
          <w:lang w:val="fr-FR"/>
        </w:rPr>
        <w:t>  </w:t>
      </w:r>
      <w:r w:rsidR="00D26D31" w:rsidRPr="00D26D31">
        <w:rPr>
          <w:lang w:val="fr-FR"/>
        </w:rPr>
        <w:t xml:space="preserve">Proposition de loi visant </w:t>
      </w:r>
      <w:r w:rsidR="00F67388">
        <w:rPr>
          <w:lang w:val="fr-FR"/>
        </w:rPr>
        <w:t xml:space="preserve">à </w:t>
      </w:r>
      <w:r w:rsidR="00D26D31" w:rsidRPr="00D26D31">
        <w:rPr>
          <w:lang w:val="fr-FR"/>
        </w:rPr>
        <w:t>l</w:t>
      </w:r>
      <w:r w:rsidR="00603708">
        <w:rPr>
          <w:lang w:val="fr-FR"/>
        </w:rPr>
        <w:t>’</w:t>
      </w:r>
      <w:r w:rsidR="00D26D31" w:rsidRPr="00D26D31">
        <w:rPr>
          <w:lang w:val="fr-FR"/>
        </w:rPr>
        <w:t xml:space="preserve">introduction </w:t>
      </w:r>
      <w:r w:rsidR="00F67388" w:rsidRPr="00D26D31">
        <w:rPr>
          <w:lang w:val="fr-FR"/>
        </w:rPr>
        <w:t xml:space="preserve">du délit de torture </w:t>
      </w:r>
      <w:r w:rsidR="00D26D31" w:rsidRPr="00D26D31">
        <w:rPr>
          <w:lang w:val="fr-FR"/>
        </w:rPr>
        <w:t>dans l</w:t>
      </w:r>
      <w:r w:rsidR="00603708">
        <w:rPr>
          <w:lang w:val="fr-FR"/>
        </w:rPr>
        <w:t>’</w:t>
      </w:r>
      <w:r w:rsidR="00D26D31" w:rsidRPr="00D26D31">
        <w:rPr>
          <w:lang w:val="fr-FR"/>
        </w:rPr>
        <w:t>ordre juridique italien</w:t>
      </w:r>
    </w:p>
    <w:p w:rsidR="0032468C"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106</w:t>
      </w:r>
      <w:r>
        <w:fldChar w:fldCharType="end"/>
      </w:r>
      <w:r w:rsidRPr="00D26D31">
        <w:rPr>
          <w:lang w:val="fr-FR"/>
        </w:rPr>
        <w:t>.  </w:t>
      </w:r>
      <w:r w:rsidR="00512FD7">
        <w:rPr>
          <w:lang w:val="fr-FR"/>
        </w:rPr>
        <w:t>Le 5 mars 2014</w:t>
      </w:r>
      <w:r w:rsidRPr="00D26D31">
        <w:rPr>
          <w:lang w:val="fr-FR"/>
        </w:rPr>
        <w:t xml:space="preserve">, </w:t>
      </w:r>
      <w:r w:rsidR="00512FD7">
        <w:rPr>
          <w:lang w:val="fr-FR"/>
        </w:rPr>
        <w:t>le</w:t>
      </w:r>
      <w:r w:rsidRPr="00D26D31">
        <w:rPr>
          <w:lang w:val="fr-FR"/>
        </w:rPr>
        <w:t xml:space="preserve"> Sénat </w:t>
      </w:r>
      <w:r w:rsidR="00EE7FBC">
        <w:rPr>
          <w:lang w:val="fr-FR"/>
        </w:rPr>
        <w:t>italien</w:t>
      </w:r>
      <w:r w:rsidRPr="00D26D31">
        <w:rPr>
          <w:lang w:val="fr-FR"/>
        </w:rPr>
        <w:t xml:space="preserve"> a </w:t>
      </w:r>
      <w:r w:rsidR="00512FD7">
        <w:rPr>
          <w:lang w:val="fr-FR"/>
        </w:rPr>
        <w:t xml:space="preserve">approuvé une </w:t>
      </w:r>
      <w:r w:rsidRPr="00D26D31">
        <w:rPr>
          <w:lang w:val="fr-FR"/>
        </w:rPr>
        <w:t xml:space="preserve">proposition de loi </w:t>
      </w:r>
      <w:r w:rsidR="006B0947">
        <w:rPr>
          <w:lang w:val="fr-FR"/>
        </w:rPr>
        <w:t>(n</w:t>
      </w:r>
      <w:r w:rsidR="0032468C" w:rsidRPr="0032468C">
        <w:rPr>
          <w:vertAlign w:val="superscript"/>
          <w:lang w:val="fr-FR"/>
        </w:rPr>
        <w:t>o</w:t>
      </w:r>
      <w:r w:rsidR="006B0947">
        <w:rPr>
          <w:lang w:val="fr-FR"/>
        </w:rPr>
        <w:t xml:space="preserve"> S-849, qui fusionne les projets n</w:t>
      </w:r>
      <w:r w:rsidR="006B0947">
        <w:rPr>
          <w:vertAlign w:val="superscript"/>
          <w:lang w:val="fr-FR"/>
        </w:rPr>
        <w:t>os</w:t>
      </w:r>
      <w:r w:rsidR="006B0947">
        <w:rPr>
          <w:lang w:val="fr-FR"/>
        </w:rPr>
        <w:t xml:space="preserve"> S-10, S-362, S-388, S-395, S-849 et S-874) </w:t>
      </w:r>
      <w:r w:rsidRPr="00D26D31">
        <w:rPr>
          <w:lang w:val="fr-FR"/>
        </w:rPr>
        <w:t>visant à l</w:t>
      </w:r>
      <w:r w:rsidR="00603708">
        <w:rPr>
          <w:lang w:val="fr-FR"/>
        </w:rPr>
        <w:t>’</w:t>
      </w:r>
      <w:r w:rsidRPr="00D26D31">
        <w:rPr>
          <w:lang w:val="fr-FR"/>
        </w:rPr>
        <w:t>introduction du délit de torture</w:t>
      </w:r>
      <w:r w:rsidR="00F67388">
        <w:rPr>
          <w:lang w:val="fr-FR"/>
        </w:rPr>
        <w:t xml:space="preserve"> </w:t>
      </w:r>
      <w:r w:rsidR="00F67388" w:rsidRPr="00D26D31">
        <w:rPr>
          <w:lang w:val="fr-FR"/>
        </w:rPr>
        <w:t>dans l</w:t>
      </w:r>
      <w:r w:rsidR="00603708">
        <w:rPr>
          <w:lang w:val="fr-FR"/>
        </w:rPr>
        <w:t>’</w:t>
      </w:r>
      <w:r w:rsidR="00F67388" w:rsidRPr="00D26D31">
        <w:rPr>
          <w:lang w:val="fr-FR"/>
        </w:rPr>
        <w:t>ordre juridique italien</w:t>
      </w:r>
      <w:r w:rsidRPr="00D26D31">
        <w:rPr>
          <w:lang w:val="fr-FR"/>
        </w:rPr>
        <w:t>.</w:t>
      </w:r>
      <w:r w:rsidR="00CF20B7">
        <w:rPr>
          <w:lang w:val="fr-FR"/>
        </w:rPr>
        <w:t xml:space="preserve"> Cette proposition a été transmise </w:t>
      </w:r>
      <w:r w:rsidR="00F67388">
        <w:rPr>
          <w:lang w:val="fr-FR"/>
        </w:rPr>
        <w:t xml:space="preserve">par la suite </w:t>
      </w:r>
      <w:r w:rsidR="00CF20B7">
        <w:rPr>
          <w:lang w:val="fr-FR"/>
        </w:rPr>
        <w:t xml:space="preserve">à la Chambre des </w:t>
      </w:r>
      <w:r w:rsidR="00C139EB">
        <w:rPr>
          <w:lang w:val="fr-FR"/>
        </w:rPr>
        <w:t>d</w:t>
      </w:r>
      <w:r w:rsidR="00CF20B7">
        <w:rPr>
          <w:lang w:val="fr-FR"/>
        </w:rPr>
        <w:t>éputés pour approbation.</w:t>
      </w:r>
    </w:p>
    <w:p w:rsidR="00D26D31" w:rsidRPr="00D26D31" w:rsidRDefault="00D66D8D" w:rsidP="00D66D8D">
      <w:pPr>
        <w:pStyle w:val="ECHRHeading1"/>
        <w:rPr>
          <w:lang w:val="fr-FR"/>
        </w:rPr>
      </w:pPr>
      <w:r>
        <w:rPr>
          <w:lang w:val="fr-FR"/>
        </w:rPr>
        <w:t>III</w:t>
      </w:r>
      <w:r w:rsidRPr="00D26D31">
        <w:rPr>
          <w:lang w:val="fr-FR"/>
        </w:rPr>
        <w:t>.  </w:t>
      </w:r>
      <w:r w:rsidR="00C142F5" w:rsidRPr="00D26D31">
        <w:rPr>
          <w:lang w:val="fr-FR"/>
        </w:rPr>
        <w:t>É</w:t>
      </w:r>
      <w:r w:rsidRPr="00D26D31">
        <w:rPr>
          <w:lang w:val="fr-FR"/>
        </w:rPr>
        <w:t>LÉMENTS PERTINENTS DE DROIT INTERNATIONAL</w:t>
      </w:r>
    </w:p>
    <w:p w:rsidR="00D26D31" w:rsidRPr="00D26D31" w:rsidRDefault="00CF20B7" w:rsidP="00CF20B7">
      <w:pPr>
        <w:pStyle w:val="ECHRHeading2"/>
        <w:rPr>
          <w:lang w:val="fr-FR"/>
        </w:rPr>
      </w:pPr>
      <w:r>
        <w:rPr>
          <w:lang w:val="fr-FR"/>
        </w:rPr>
        <w:t>A</w:t>
      </w:r>
      <w:r w:rsidR="00D26D31" w:rsidRPr="00D26D31">
        <w:rPr>
          <w:lang w:val="fr-FR"/>
        </w:rPr>
        <w:t>.  Déclaration universelle des droits de l</w:t>
      </w:r>
      <w:r w:rsidR="00603708">
        <w:rPr>
          <w:lang w:val="fr-FR"/>
        </w:rPr>
        <w:t>’</w:t>
      </w:r>
      <w:r w:rsidR="00D26D31" w:rsidRPr="00D26D31">
        <w:rPr>
          <w:lang w:val="fr-FR"/>
        </w:rPr>
        <w:t>homme</w:t>
      </w:r>
    </w:p>
    <w:p w:rsidR="00D26D31" w:rsidRPr="00D26D31" w:rsidRDefault="00D26D31" w:rsidP="00D26D31">
      <w:pPr>
        <w:pStyle w:val="ECHRPara"/>
        <w:rPr>
          <w:rStyle w:val="JuParaCar"/>
          <w:lang w:val="fr-FR"/>
        </w:rPr>
      </w:pPr>
      <w:r>
        <w:rPr>
          <w:rStyle w:val="JuParaCar"/>
        </w:rPr>
        <w:fldChar w:fldCharType="begin"/>
      </w:r>
      <w:r w:rsidRPr="00D26D31">
        <w:rPr>
          <w:rStyle w:val="JuParaCar"/>
          <w:lang w:val="fr-FR"/>
        </w:rPr>
        <w:instrText xml:space="preserve"> SEQ level0 \*arabic </w:instrText>
      </w:r>
      <w:r>
        <w:rPr>
          <w:rStyle w:val="JuParaCar"/>
        </w:rPr>
        <w:fldChar w:fldCharType="separate"/>
      </w:r>
      <w:r w:rsidR="00B378F9">
        <w:rPr>
          <w:rStyle w:val="JuParaCar"/>
          <w:noProof/>
          <w:lang w:val="fr-FR"/>
        </w:rPr>
        <w:t>107</w:t>
      </w:r>
      <w:r>
        <w:rPr>
          <w:rStyle w:val="JuParaCar"/>
        </w:rPr>
        <w:fldChar w:fldCharType="end"/>
      </w:r>
      <w:r w:rsidRPr="00D26D31">
        <w:rPr>
          <w:rStyle w:val="JuParaCar"/>
          <w:lang w:val="fr-FR"/>
        </w:rPr>
        <w:t>.  L</w:t>
      </w:r>
      <w:r w:rsidR="00603708">
        <w:rPr>
          <w:rStyle w:val="JuParaCar"/>
          <w:lang w:val="fr-FR"/>
        </w:rPr>
        <w:t>’</w:t>
      </w:r>
      <w:r w:rsidRPr="00D26D31">
        <w:rPr>
          <w:rStyle w:val="JuParaCar"/>
          <w:lang w:val="fr-FR"/>
        </w:rPr>
        <w:t>article 5 de la Déclaration universelle des droits de l</w:t>
      </w:r>
      <w:r w:rsidR="00603708">
        <w:rPr>
          <w:rStyle w:val="JuParaCar"/>
          <w:lang w:val="fr-FR"/>
        </w:rPr>
        <w:t>’</w:t>
      </w:r>
      <w:r w:rsidRPr="00D26D31">
        <w:rPr>
          <w:rStyle w:val="JuParaCar"/>
          <w:lang w:val="fr-FR"/>
        </w:rPr>
        <w:t xml:space="preserve">homme </w:t>
      </w:r>
      <w:r w:rsidRPr="00D26D31">
        <w:rPr>
          <w:lang w:val="fr-FR"/>
        </w:rPr>
        <w:t xml:space="preserve">du 10 décembre 1948 </w:t>
      </w:r>
      <w:r w:rsidRPr="00D26D31">
        <w:rPr>
          <w:rStyle w:val="JuParaCar"/>
          <w:lang w:val="fr-FR"/>
        </w:rPr>
        <w:t>dispose :</w:t>
      </w:r>
    </w:p>
    <w:p w:rsidR="00D26D31" w:rsidRDefault="00D26D31" w:rsidP="00D26D31">
      <w:pPr>
        <w:pStyle w:val="ECHRParaQuote"/>
        <w:rPr>
          <w:lang w:val="fr-FR"/>
        </w:rPr>
      </w:pPr>
      <w:r w:rsidRPr="00D26D31">
        <w:rPr>
          <w:lang w:val="fr-FR"/>
        </w:rPr>
        <w:t>« Nul ne sera soumis à la torture, ni à des peines ou traitements cruels, inhumains ou dégradants. »</w:t>
      </w:r>
    </w:p>
    <w:p w:rsidR="00D26D31" w:rsidRPr="00D26D31" w:rsidRDefault="00CF20B7" w:rsidP="00CF20B7">
      <w:pPr>
        <w:pStyle w:val="ECHRHeading2"/>
        <w:rPr>
          <w:lang w:val="fr-FR"/>
        </w:rPr>
      </w:pPr>
      <w:r>
        <w:rPr>
          <w:lang w:val="fr-FR"/>
        </w:rPr>
        <w:t>B</w:t>
      </w:r>
      <w:r w:rsidR="00D26D31" w:rsidRPr="00D26D31">
        <w:rPr>
          <w:lang w:val="fr-FR"/>
        </w:rPr>
        <w:t>.  Pacte international relatif aux droits civils et politiques</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108</w:t>
      </w:r>
      <w:r>
        <w:fldChar w:fldCharType="end"/>
      </w:r>
      <w:r w:rsidRPr="00D26D31">
        <w:rPr>
          <w:lang w:val="fr-FR"/>
        </w:rPr>
        <w:t>.  L</w:t>
      </w:r>
      <w:r w:rsidR="00603708">
        <w:rPr>
          <w:lang w:val="fr-FR"/>
        </w:rPr>
        <w:t>’</w:t>
      </w:r>
      <w:r w:rsidRPr="00D26D31">
        <w:rPr>
          <w:lang w:val="fr-FR"/>
        </w:rPr>
        <w:t>article 7 du Pacte international relatif aux droits civils et politiques du 16 décembre 1966, entré en vigueur le 23 mars 1976 et ratifié par l</w:t>
      </w:r>
      <w:r w:rsidR="00603708">
        <w:rPr>
          <w:lang w:val="fr-FR"/>
        </w:rPr>
        <w:t>’</w:t>
      </w:r>
      <w:r w:rsidRPr="00D26D31">
        <w:rPr>
          <w:lang w:val="fr-FR"/>
        </w:rPr>
        <w:t>Italie le 15 septembre 1978, dispose :</w:t>
      </w:r>
    </w:p>
    <w:p w:rsidR="00D26D31" w:rsidRPr="00D26D31" w:rsidRDefault="00D26D31" w:rsidP="00D26D31">
      <w:pPr>
        <w:pStyle w:val="ECHRParaQuote"/>
        <w:ind w:firstLine="0"/>
        <w:rPr>
          <w:lang w:val="fr-FR"/>
        </w:rPr>
      </w:pPr>
      <w:r w:rsidRPr="00D26D31">
        <w:rPr>
          <w:lang w:val="fr-FR"/>
        </w:rPr>
        <w:t>« Nul ne sera soumis à la torture ni à des peines ou traitements cruels, inhumains ou dégradants. En particulier, il est interdit de soumettre une personne sans son libre consentement à une expérience médicale ou scientifique. »</w:t>
      </w:r>
    </w:p>
    <w:p w:rsidR="00D26D31" w:rsidRPr="00D26D31" w:rsidRDefault="00CF20B7" w:rsidP="00CF20B7">
      <w:pPr>
        <w:pStyle w:val="ECHRHeading2"/>
        <w:rPr>
          <w:color w:val="555555"/>
          <w:lang w:val="fr-FR"/>
        </w:rPr>
      </w:pPr>
      <w:r>
        <w:rPr>
          <w:lang w:val="fr-FR"/>
        </w:rPr>
        <w:t>C</w:t>
      </w:r>
      <w:r w:rsidR="00D26D31" w:rsidRPr="00D26D31">
        <w:rPr>
          <w:lang w:val="fr-FR"/>
        </w:rPr>
        <w:t>.  Convention contre la torture et autres peines ou traitements cruels, inhumains ou dégradants</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109</w:t>
      </w:r>
      <w:r>
        <w:fldChar w:fldCharType="end"/>
      </w:r>
      <w:r w:rsidRPr="00D26D31">
        <w:rPr>
          <w:lang w:val="fr-FR"/>
        </w:rPr>
        <w:t xml:space="preserve">.  Les articles pertinents </w:t>
      </w:r>
      <w:r w:rsidR="007F3F54">
        <w:rPr>
          <w:lang w:val="fr-FR"/>
        </w:rPr>
        <w:t>en l</w:t>
      </w:r>
      <w:r w:rsidR="00603708">
        <w:rPr>
          <w:lang w:val="fr-FR"/>
        </w:rPr>
        <w:t>’</w:t>
      </w:r>
      <w:r w:rsidR="007F3F54">
        <w:rPr>
          <w:lang w:val="fr-FR"/>
        </w:rPr>
        <w:t xml:space="preserve">espèce </w:t>
      </w:r>
      <w:r w:rsidRPr="00D26D31">
        <w:rPr>
          <w:lang w:val="fr-FR"/>
        </w:rPr>
        <w:t xml:space="preserve">de la Convention contre la torture et autres peines ou traitements cruels, inhumains ou dégradants du </w:t>
      </w:r>
      <w:r w:rsidR="00BD25CE" w:rsidRPr="00D26D31">
        <w:rPr>
          <w:lang w:val="fr-FR"/>
        </w:rPr>
        <w:t>10</w:t>
      </w:r>
      <w:r w:rsidR="00BD25CE">
        <w:rPr>
          <w:lang w:val="fr-FR"/>
        </w:rPr>
        <w:t> </w:t>
      </w:r>
      <w:r w:rsidRPr="00D26D31">
        <w:rPr>
          <w:lang w:val="fr-FR"/>
        </w:rPr>
        <w:t>décembre 1984, entrée en vigueur le 26 juin 1987 et ratifiée par l</w:t>
      </w:r>
      <w:r w:rsidR="00603708">
        <w:rPr>
          <w:lang w:val="fr-FR"/>
        </w:rPr>
        <w:t>’</w:t>
      </w:r>
      <w:r w:rsidRPr="00D26D31">
        <w:rPr>
          <w:lang w:val="fr-FR"/>
        </w:rPr>
        <w:t xml:space="preserve">Italie </w:t>
      </w:r>
      <w:r w:rsidR="00BD25CE">
        <w:rPr>
          <w:lang w:val="fr-FR"/>
        </w:rPr>
        <w:t xml:space="preserve">le </w:t>
      </w:r>
      <w:r w:rsidRPr="00D26D31">
        <w:rPr>
          <w:lang w:val="fr-FR"/>
        </w:rPr>
        <w:t>12 janvier 1989, sont ainsi libellés :</w:t>
      </w:r>
    </w:p>
    <w:p w:rsidR="00D26D31" w:rsidRPr="004A012A" w:rsidRDefault="00D26D31" w:rsidP="00D26D31">
      <w:pPr>
        <w:pStyle w:val="ECHRParaQuote"/>
        <w:jc w:val="center"/>
        <w:rPr>
          <w:b/>
          <w:lang w:val="fr-FR"/>
        </w:rPr>
      </w:pPr>
      <w:r w:rsidRPr="004A012A">
        <w:rPr>
          <w:b/>
          <w:lang w:val="fr-FR"/>
        </w:rPr>
        <w:t>Article 1</w:t>
      </w:r>
    </w:p>
    <w:p w:rsidR="00D26D31" w:rsidRPr="00D26D31" w:rsidRDefault="00D26D31" w:rsidP="00D26D31">
      <w:pPr>
        <w:pStyle w:val="ECHRParaQuote"/>
        <w:rPr>
          <w:lang w:val="fr-FR"/>
        </w:rPr>
      </w:pPr>
      <w:r w:rsidRPr="00D26D31">
        <w:rPr>
          <w:lang w:val="fr-FR"/>
        </w:rPr>
        <w:t xml:space="preserve">« 1.  Aux fins de la présente Convention, le terme </w:t>
      </w:r>
      <w:r w:rsidR="00BD25CE">
        <w:rPr>
          <w:lang w:val="fr-FR"/>
        </w:rPr>
        <w:t>« </w:t>
      </w:r>
      <w:r w:rsidRPr="00D26D31">
        <w:rPr>
          <w:lang w:val="fr-FR"/>
        </w:rPr>
        <w:t>torture</w:t>
      </w:r>
      <w:r w:rsidR="00BD25CE">
        <w:rPr>
          <w:lang w:val="fr-FR"/>
        </w:rPr>
        <w:t> »</w:t>
      </w:r>
      <w:r w:rsidRPr="00D26D31">
        <w:rPr>
          <w:lang w:val="fr-FR"/>
        </w:rPr>
        <w:t xml:space="preserve"> désigne tout acte par lequel une douleur ou des souffrances aiguës, physiques ou mentales, sont intentionnellement infligées à une personne aux fins notamment d</w:t>
      </w:r>
      <w:r w:rsidR="00603708">
        <w:rPr>
          <w:lang w:val="fr-FR"/>
        </w:rPr>
        <w:t>’</w:t>
      </w:r>
      <w:r w:rsidRPr="00D26D31">
        <w:rPr>
          <w:lang w:val="fr-FR"/>
        </w:rPr>
        <w:t>obtenir d</w:t>
      </w:r>
      <w:r w:rsidR="00603708">
        <w:rPr>
          <w:lang w:val="fr-FR"/>
        </w:rPr>
        <w:t>’</w:t>
      </w:r>
      <w:r w:rsidRPr="00D26D31">
        <w:rPr>
          <w:lang w:val="fr-FR"/>
        </w:rPr>
        <w:t>elle ou d</w:t>
      </w:r>
      <w:r w:rsidR="00603708">
        <w:rPr>
          <w:lang w:val="fr-FR"/>
        </w:rPr>
        <w:t>’</w:t>
      </w:r>
      <w:r w:rsidRPr="00D26D31">
        <w:rPr>
          <w:lang w:val="fr-FR"/>
        </w:rPr>
        <w:t>une tierce personne des renseignements ou des aveux, de la punir d</w:t>
      </w:r>
      <w:r w:rsidR="00603708">
        <w:rPr>
          <w:lang w:val="fr-FR"/>
        </w:rPr>
        <w:t>’</w:t>
      </w:r>
      <w:r w:rsidRPr="00D26D31">
        <w:rPr>
          <w:lang w:val="fr-FR"/>
        </w:rPr>
        <w:t>un acte qu</w:t>
      </w:r>
      <w:r w:rsidR="00603708">
        <w:rPr>
          <w:lang w:val="fr-FR"/>
        </w:rPr>
        <w:t>’</w:t>
      </w:r>
      <w:r w:rsidRPr="00D26D31">
        <w:rPr>
          <w:lang w:val="fr-FR"/>
        </w:rPr>
        <w:t>elle ou une tierce personne a commis ou est soupçonnée d</w:t>
      </w:r>
      <w:r w:rsidR="00603708">
        <w:rPr>
          <w:lang w:val="fr-FR"/>
        </w:rPr>
        <w:t>’</w:t>
      </w:r>
      <w:r w:rsidRPr="00D26D31">
        <w:rPr>
          <w:lang w:val="fr-FR"/>
        </w:rPr>
        <w:t>avoir commis, de l</w:t>
      </w:r>
      <w:r w:rsidR="00603708">
        <w:rPr>
          <w:lang w:val="fr-FR"/>
        </w:rPr>
        <w:t>’</w:t>
      </w:r>
      <w:r w:rsidRPr="00D26D31">
        <w:rPr>
          <w:lang w:val="fr-FR"/>
        </w:rPr>
        <w:t>intimider ou de faire pression sur elle ou d</w:t>
      </w:r>
      <w:r w:rsidR="00603708">
        <w:rPr>
          <w:lang w:val="fr-FR"/>
        </w:rPr>
        <w:t>’</w:t>
      </w:r>
      <w:r w:rsidRPr="00D26D31">
        <w:rPr>
          <w:lang w:val="fr-FR"/>
        </w:rPr>
        <w:t>intimider ou de faire pression sur une tierce personne, ou pour tout autre motif fondé sur une forme de discrimination quelle qu</w:t>
      </w:r>
      <w:r w:rsidR="00603708">
        <w:rPr>
          <w:lang w:val="fr-FR"/>
        </w:rPr>
        <w:t>’</w:t>
      </w:r>
      <w:r w:rsidRPr="00D26D31">
        <w:rPr>
          <w:lang w:val="fr-FR"/>
        </w:rPr>
        <w:t>elle soit, lorsqu</w:t>
      </w:r>
      <w:r w:rsidR="00603708">
        <w:rPr>
          <w:lang w:val="fr-FR"/>
        </w:rPr>
        <w:t>’</w:t>
      </w:r>
      <w:r w:rsidRPr="00D26D31">
        <w:rPr>
          <w:lang w:val="fr-FR"/>
        </w:rPr>
        <w:t>une telle douleur ou de telles souffrances sont infligées par un agent de la fonction publique ou toute autre personne agissant à titre officiel ou à son instigation ou avec son consentement exprès ou tacite. Ce terme ne s</w:t>
      </w:r>
      <w:r w:rsidR="00603708">
        <w:rPr>
          <w:lang w:val="fr-FR"/>
        </w:rPr>
        <w:t>’</w:t>
      </w:r>
      <w:r w:rsidRPr="00D26D31">
        <w:rPr>
          <w:lang w:val="fr-FR"/>
        </w:rPr>
        <w:t>étend pas à la douleur ou aux souffrances résultant uniquement de sanctions légitimes, inhérentes à ces sanctions ou occasionnées par elles.</w:t>
      </w:r>
    </w:p>
    <w:p w:rsidR="00D26D31" w:rsidRPr="00D26D31" w:rsidRDefault="00D26D31" w:rsidP="00D26D31">
      <w:pPr>
        <w:pStyle w:val="ECHRParaQuote"/>
        <w:rPr>
          <w:lang w:val="fr-FR"/>
        </w:rPr>
      </w:pPr>
      <w:r w:rsidRPr="00D26D31">
        <w:rPr>
          <w:lang w:val="fr-FR"/>
        </w:rPr>
        <w:t>2.  Cet article est sans préjudice de tout instrument international ou de toute loi nationale qui contient ou peut contenir des dispositions de portée plus large. »</w:t>
      </w:r>
    </w:p>
    <w:p w:rsidR="00D26D31" w:rsidRPr="004A012A" w:rsidRDefault="00D26D31" w:rsidP="00D26D31">
      <w:pPr>
        <w:pStyle w:val="ECHRParaQuote"/>
        <w:jc w:val="center"/>
        <w:rPr>
          <w:b/>
          <w:lang w:val="fr-FR"/>
        </w:rPr>
      </w:pPr>
      <w:r w:rsidRPr="004A012A">
        <w:rPr>
          <w:b/>
          <w:lang w:val="fr-FR"/>
        </w:rPr>
        <w:t>Article 2</w:t>
      </w:r>
    </w:p>
    <w:p w:rsidR="00D26D31" w:rsidRPr="00D26D31" w:rsidRDefault="00D26D31" w:rsidP="00D26D31">
      <w:pPr>
        <w:pStyle w:val="ECHRParaQuote"/>
        <w:rPr>
          <w:lang w:val="fr-FR"/>
        </w:rPr>
      </w:pPr>
      <w:r w:rsidRPr="00D26D31">
        <w:rPr>
          <w:lang w:val="fr-FR"/>
        </w:rPr>
        <w:t xml:space="preserve">« 1.  Tout </w:t>
      </w:r>
      <w:r w:rsidR="00AA30EB">
        <w:rPr>
          <w:rStyle w:val="sb8d990e2"/>
          <w:rFonts w:cstheme="minorHAnsi"/>
          <w:lang w:val="fr-FR"/>
        </w:rPr>
        <w:t>É</w:t>
      </w:r>
      <w:r w:rsidRPr="00D26D31">
        <w:rPr>
          <w:lang w:val="fr-FR"/>
        </w:rPr>
        <w:t>tat partie prend des mesures législatives, administratives, judiciaires et autres mesures efficaces pour empêcher que des actes de torture soient commis dans tout territoire sous sa juridiction.</w:t>
      </w:r>
    </w:p>
    <w:p w:rsidR="00D26D31" w:rsidRPr="00D26D31" w:rsidRDefault="00D26D31" w:rsidP="00D26D31">
      <w:pPr>
        <w:pStyle w:val="ECHRParaQuote"/>
        <w:rPr>
          <w:lang w:val="fr-FR"/>
        </w:rPr>
      </w:pPr>
      <w:r w:rsidRPr="00D26D31">
        <w:rPr>
          <w:lang w:val="fr-FR"/>
        </w:rPr>
        <w:t>2.  Aucune circonstance exceptionnelle, quelle qu</w:t>
      </w:r>
      <w:r w:rsidR="00603708">
        <w:rPr>
          <w:lang w:val="fr-FR"/>
        </w:rPr>
        <w:t>’</w:t>
      </w:r>
      <w:r w:rsidRPr="00D26D31">
        <w:rPr>
          <w:lang w:val="fr-FR"/>
        </w:rPr>
        <w:t>elle soit, qu</w:t>
      </w:r>
      <w:r w:rsidR="00603708">
        <w:rPr>
          <w:lang w:val="fr-FR"/>
        </w:rPr>
        <w:t>’</w:t>
      </w:r>
      <w:r w:rsidRPr="00D26D31">
        <w:rPr>
          <w:lang w:val="fr-FR"/>
        </w:rPr>
        <w:t>il s</w:t>
      </w:r>
      <w:r w:rsidR="00603708">
        <w:rPr>
          <w:lang w:val="fr-FR"/>
        </w:rPr>
        <w:t>’</w:t>
      </w:r>
      <w:r w:rsidRPr="00D26D31">
        <w:rPr>
          <w:lang w:val="fr-FR"/>
        </w:rPr>
        <w:t>agisse de l</w:t>
      </w:r>
      <w:r w:rsidR="00603708">
        <w:rPr>
          <w:lang w:val="fr-FR"/>
        </w:rPr>
        <w:t>’</w:t>
      </w:r>
      <w:r w:rsidRPr="00D26D31">
        <w:rPr>
          <w:lang w:val="fr-FR"/>
        </w:rPr>
        <w:t>état de guerre ou de menace de guerre, d</w:t>
      </w:r>
      <w:r w:rsidR="00603708">
        <w:rPr>
          <w:lang w:val="fr-FR"/>
        </w:rPr>
        <w:t>’</w:t>
      </w:r>
      <w:r w:rsidRPr="00D26D31">
        <w:rPr>
          <w:lang w:val="fr-FR"/>
        </w:rPr>
        <w:t>instabilité politique intérieure ou de tout autre état d</w:t>
      </w:r>
      <w:r w:rsidR="00603708">
        <w:rPr>
          <w:lang w:val="fr-FR"/>
        </w:rPr>
        <w:t>’</w:t>
      </w:r>
      <w:r w:rsidRPr="00D26D31">
        <w:rPr>
          <w:lang w:val="fr-FR"/>
        </w:rPr>
        <w:t>exception, ne peut être invoquée pour justifier la torture.</w:t>
      </w:r>
    </w:p>
    <w:p w:rsidR="00D26D31" w:rsidRPr="00D26D31" w:rsidRDefault="00D26D31" w:rsidP="00D26D31">
      <w:pPr>
        <w:pStyle w:val="ECHRParaQuote"/>
        <w:rPr>
          <w:lang w:val="fr-FR"/>
        </w:rPr>
      </w:pPr>
      <w:r w:rsidRPr="00D26D31">
        <w:rPr>
          <w:lang w:val="fr-FR"/>
        </w:rPr>
        <w:t>3.  L</w:t>
      </w:r>
      <w:r w:rsidR="00603708">
        <w:rPr>
          <w:lang w:val="fr-FR"/>
        </w:rPr>
        <w:t>’</w:t>
      </w:r>
      <w:r w:rsidRPr="00D26D31">
        <w:rPr>
          <w:lang w:val="fr-FR"/>
        </w:rPr>
        <w:t>ordre d</w:t>
      </w:r>
      <w:r w:rsidR="00603708">
        <w:rPr>
          <w:lang w:val="fr-FR"/>
        </w:rPr>
        <w:t>’</w:t>
      </w:r>
      <w:r w:rsidRPr="00D26D31">
        <w:rPr>
          <w:lang w:val="fr-FR"/>
        </w:rPr>
        <w:t>un supérieur ou d</w:t>
      </w:r>
      <w:r w:rsidR="00603708">
        <w:rPr>
          <w:lang w:val="fr-FR"/>
        </w:rPr>
        <w:t>’</w:t>
      </w:r>
      <w:r w:rsidRPr="00D26D31">
        <w:rPr>
          <w:lang w:val="fr-FR"/>
        </w:rPr>
        <w:t>une autorité publique ne peut être invoqué pour justifier la torture. »</w:t>
      </w:r>
    </w:p>
    <w:p w:rsidR="00D26D31" w:rsidRPr="00D26D31" w:rsidRDefault="00D26D31" w:rsidP="00D26D31">
      <w:pPr>
        <w:pStyle w:val="ECHRParaQuote"/>
        <w:keepNext/>
        <w:jc w:val="center"/>
        <w:rPr>
          <w:b/>
          <w:lang w:val="fr-FR"/>
        </w:rPr>
      </w:pPr>
      <w:r w:rsidRPr="00D26D31">
        <w:rPr>
          <w:b/>
          <w:lang w:val="fr-FR"/>
        </w:rPr>
        <w:t>Article 4</w:t>
      </w:r>
    </w:p>
    <w:p w:rsidR="00D26D31" w:rsidRPr="00D26D31" w:rsidRDefault="00D26D31" w:rsidP="00D26D31">
      <w:pPr>
        <w:pStyle w:val="ECHRParaQuote"/>
        <w:rPr>
          <w:lang w:val="fr-FR"/>
        </w:rPr>
      </w:pPr>
      <w:r w:rsidRPr="00D26D31">
        <w:rPr>
          <w:lang w:val="fr-FR"/>
        </w:rPr>
        <w:t xml:space="preserve">« 1.  Tout </w:t>
      </w:r>
      <w:r w:rsidR="00AA30EB">
        <w:rPr>
          <w:rStyle w:val="sb8d990e2"/>
          <w:rFonts w:cstheme="minorHAnsi"/>
          <w:lang w:val="fr-FR"/>
        </w:rPr>
        <w:t>É</w:t>
      </w:r>
      <w:r w:rsidRPr="00D26D31">
        <w:rPr>
          <w:lang w:val="fr-FR"/>
        </w:rPr>
        <w:t>tat partie veille à ce que tous les actes de torture constituent des infractions au regard de son droit pénal. Il en est de même de la tentative de pratiquer la torture ou de tout acte commis par n</w:t>
      </w:r>
      <w:r w:rsidR="00603708">
        <w:rPr>
          <w:lang w:val="fr-FR"/>
        </w:rPr>
        <w:t>’</w:t>
      </w:r>
      <w:r w:rsidRPr="00D26D31">
        <w:rPr>
          <w:lang w:val="fr-FR"/>
        </w:rPr>
        <w:t>importe quelle personne qui constitue une complicité ou une participation à l</w:t>
      </w:r>
      <w:r w:rsidR="00603708">
        <w:rPr>
          <w:lang w:val="fr-FR"/>
        </w:rPr>
        <w:t>’</w:t>
      </w:r>
      <w:r w:rsidRPr="00D26D31">
        <w:rPr>
          <w:lang w:val="fr-FR"/>
        </w:rPr>
        <w:t>acte de torture.</w:t>
      </w:r>
    </w:p>
    <w:p w:rsidR="00D26D31" w:rsidRPr="00D26D31" w:rsidRDefault="00D26D31" w:rsidP="00D26D31">
      <w:pPr>
        <w:pStyle w:val="ECHRParaQuote"/>
        <w:rPr>
          <w:lang w:val="fr-FR"/>
        </w:rPr>
      </w:pPr>
      <w:r w:rsidRPr="00D26D31">
        <w:rPr>
          <w:lang w:val="fr-FR"/>
        </w:rPr>
        <w:t xml:space="preserve">2.  Tout </w:t>
      </w:r>
      <w:r w:rsidR="00AA30EB">
        <w:rPr>
          <w:rStyle w:val="sb8d990e2"/>
          <w:rFonts w:cstheme="minorHAnsi"/>
          <w:lang w:val="fr-FR"/>
        </w:rPr>
        <w:t>É</w:t>
      </w:r>
      <w:r w:rsidRPr="00D26D31">
        <w:rPr>
          <w:lang w:val="fr-FR"/>
        </w:rPr>
        <w:t>tat partie rend ces infractions passibles de peines appropriées qui prennent en considération leur gravité. »</w:t>
      </w:r>
    </w:p>
    <w:p w:rsidR="00D26D31" w:rsidRPr="004A012A" w:rsidRDefault="00D26D31" w:rsidP="00D26D31">
      <w:pPr>
        <w:pStyle w:val="ECHRParaQuote"/>
        <w:jc w:val="center"/>
        <w:rPr>
          <w:b/>
          <w:lang w:val="fr-FR"/>
        </w:rPr>
      </w:pPr>
      <w:r w:rsidRPr="004A012A">
        <w:rPr>
          <w:b/>
          <w:lang w:val="fr-FR"/>
        </w:rPr>
        <w:t>Article 5</w:t>
      </w:r>
    </w:p>
    <w:p w:rsidR="00D26D31" w:rsidRPr="00D26D31" w:rsidRDefault="00D26D31" w:rsidP="00D26D31">
      <w:pPr>
        <w:pStyle w:val="ECHRParaQuote"/>
        <w:rPr>
          <w:lang w:val="fr-FR"/>
        </w:rPr>
      </w:pPr>
      <w:r w:rsidRPr="00D26D31">
        <w:rPr>
          <w:lang w:val="fr-FR"/>
        </w:rPr>
        <w:t xml:space="preserve">« 1.  Tout </w:t>
      </w:r>
      <w:r w:rsidR="00AA30EB">
        <w:rPr>
          <w:rStyle w:val="sb8d990e2"/>
          <w:rFonts w:cstheme="minorHAnsi"/>
          <w:lang w:val="fr-FR"/>
        </w:rPr>
        <w:t>É</w:t>
      </w:r>
      <w:r w:rsidRPr="00D26D31">
        <w:rPr>
          <w:lang w:val="fr-FR"/>
        </w:rPr>
        <w:t>tat partie prend les mesures nécessaires pour établir sa compétence aux fins de connaître des infractions visées à l</w:t>
      </w:r>
      <w:r w:rsidR="00603708">
        <w:rPr>
          <w:lang w:val="fr-FR"/>
        </w:rPr>
        <w:t>’</w:t>
      </w:r>
      <w:r w:rsidRPr="00D26D31">
        <w:rPr>
          <w:lang w:val="fr-FR"/>
        </w:rPr>
        <w:t>article 4 dans les cas suivants</w:t>
      </w:r>
      <w:r w:rsidR="00AA30EB">
        <w:rPr>
          <w:lang w:val="fr-FR"/>
        </w:rPr>
        <w:t> :</w:t>
      </w:r>
    </w:p>
    <w:p w:rsidR="00D26D31" w:rsidRPr="00D26D31" w:rsidRDefault="00D26D31" w:rsidP="00D26D31">
      <w:pPr>
        <w:pStyle w:val="ECHRParaQuote"/>
        <w:rPr>
          <w:lang w:val="fr-FR"/>
        </w:rPr>
      </w:pPr>
      <w:r w:rsidRPr="00D26D31">
        <w:rPr>
          <w:lang w:val="fr-FR"/>
        </w:rPr>
        <w:t>a)  Quand l</w:t>
      </w:r>
      <w:r w:rsidR="00603708">
        <w:rPr>
          <w:lang w:val="fr-FR"/>
        </w:rPr>
        <w:t>’</w:t>
      </w:r>
      <w:r w:rsidRPr="00D26D31">
        <w:rPr>
          <w:lang w:val="fr-FR"/>
        </w:rPr>
        <w:t xml:space="preserve">infraction a été commise sur tout territoire sous la juridiction dudit </w:t>
      </w:r>
      <w:r w:rsidR="00AA30EB">
        <w:rPr>
          <w:rStyle w:val="sb8d990e2"/>
          <w:rFonts w:cstheme="minorHAnsi"/>
          <w:lang w:val="fr-FR"/>
        </w:rPr>
        <w:t>É</w:t>
      </w:r>
      <w:r w:rsidRPr="00D26D31">
        <w:rPr>
          <w:lang w:val="fr-FR"/>
        </w:rPr>
        <w:t>tat ou à bord d</w:t>
      </w:r>
      <w:r w:rsidR="00603708">
        <w:rPr>
          <w:lang w:val="fr-FR"/>
        </w:rPr>
        <w:t>’</w:t>
      </w:r>
      <w:r w:rsidRPr="00D26D31">
        <w:rPr>
          <w:lang w:val="fr-FR"/>
        </w:rPr>
        <w:t xml:space="preserve">aéronefs ou de navires immatriculés dans cet </w:t>
      </w:r>
      <w:r w:rsidR="00AA30EB">
        <w:rPr>
          <w:rStyle w:val="sb8d990e2"/>
          <w:rFonts w:cstheme="minorHAnsi"/>
          <w:lang w:val="fr-FR"/>
        </w:rPr>
        <w:t>É</w:t>
      </w:r>
      <w:r w:rsidRPr="00D26D31">
        <w:rPr>
          <w:lang w:val="fr-FR"/>
        </w:rPr>
        <w:t>tat</w:t>
      </w:r>
      <w:r w:rsidR="00AA30EB">
        <w:rPr>
          <w:lang w:val="fr-FR"/>
        </w:rPr>
        <w:t> ;</w:t>
      </w:r>
    </w:p>
    <w:p w:rsidR="00D26D31" w:rsidRPr="00D26D31" w:rsidRDefault="00D26D31" w:rsidP="00D26D31">
      <w:pPr>
        <w:pStyle w:val="ECHRParaQuote"/>
        <w:rPr>
          <w:lang w:val="fr-FR"/>
        </w:rPr>
      </w:pPr>
      <w:r w:rsidRPr="00D26D31">
        <w:rPr>
          <w:lang w:val="fr-FR"/>
        </w:rPr>
        <w:t>b)  Quand l</w:t>
      </w:r>
      <w:r w:rsidR="00603708">
        <w:rPr>
          <w:lang w:val="fr-FR"/>
        </w:rPr>
        <w:t>’</w:t>
      </w:r>
      <w:r w:rsidRPr="00D26D31">
        <w:rPr>
          <w:lang w:val="fr-FR"/>
        </w:rPr>
        <w:t>auteur présumé de l</w:t>
      </w:r>
      <w:r w:rsidR="00603708">
        <w:rPr>
          <w:lang w:val="fr-FR"/>
        </w:rPr>
        <w:t>’</w:t>
      </w:r>
      <w:r w:rsidRPr="00D26D31">
        <w:rPr>
          <w:lang w:val="fr-FR"/>
        </w:rPr>
        <w:t xml:space="preserve">infraction est un ressortissant dudit </w:t>
      </w:r>
      <w:r w:rsidR="00AA30EB">
        <w:rPr>
          <w:rStyle w:val="sb8d990e2"/>
          <w:rFonts w:cstheme="minorHAnsi"/>
          <w:lang w:val="fr-FR"/>
        </w:rPr>
        <w:t>É</w:t>
      </w:r>
      <w:r w:rsidRPr="00D26D31">
        <w:rPr>
          <w:lang w:val="fr-FR"/>
        </w:rPr>
        <w:t>tat</w:t>
      </w:r>
      <w:r w:rsidR="00AA30EB">
        <w:rPr>
          <w:lang w:val="fr-FR"/>
        </w:rPr>
        <w:t> ;</w:t>
      </w:r>
    </w:p>
    <w:p w:rsidR="00D26D31" w:rsidRPr="00D26D31" w:rsidRDefault="00D26D31" w:rsidP="00D26D31">
      <w:pPr>
        <w:pStyle w:val="ECHRParaQuote"/>
        <w:rPr>
          <w:lang w:val="fr-FR"/>
        </w:rPr>
      </w:pPr>
      <w:r w:rsidRPr="00D26D31">
        <w:rPr>
          <w:lang w:val="fr-FR"/>
        </w:rPr>
        <w:t xml:space="preserve">c)  Quand la victime est un ressortissant dudit </w:t>
      </w:r>
      <w:r w:rsidR="00AA30EB">
        <w:rPr>
          <w:rStyle w:val="sb8d990e2"/>
          <w:rFonts w:cstheme="minorHAnsi"/>
          <w:lang w:val="fr-FR"/>
        </w:rPr>
        <w:t>É</w:t>
      </w:r>
      <w:r w:rsidRPr="00D26D31">
        <w:rPr>
          <w:lang w:val="fr-FR"/>
        </w:rPr>
        <w:t>tat et que ce dernier le juge approprié.</w:t>
      </w:r>
    </w:p>
    <w:p w:rsidR="00D26D31" w:rsidRPr="00D26D31" w:rsidRDefault="00D26D31" w:rsidP="00D26D31">
      <w:pPr>
        <w:pStyle w:val="ECHRParaQuote"/>
        <w:rPr>
          <w:lang w:val="fr-FR"/>
        </w:rPr>
      </w:pPr>
      <w:r w:rsidRPr="00D26D31">
        <w:rPr>
          <w:lang w:val="fr-FR"/>
        </w:rPr>
        <w:t>2.</w:t>
      </w:r>
      <w:r w:rsidR="007F3F54">
        <w:rPr>
          <w:lang w:val="fr-FR"/>
        </w:rPr>
        <w:t>  </w:t>
      </w:r>
      <w:r w:rsidRPr="00D26D31">
        <w:rPr>
          <w:lang w:val="fr-FR"/>
        </w:rPr>
        <w:t xml:space="preserve">Tout </w:t>
      </w:r>
      <w:r w:rsidR="00AA30EB">
        <w:rPr>
          <w:rStyle w:val="sb8d990e2"/>
          <w:rFonts w:cstheme="minorHAnsi"/>
          <w:lang w:val="fr-FR"/>
        </w:rPr>
        <w:t>É</w:t>
      </w:r>
      <w:r w:rsidRPr="00D26D31">
        <w:rPr>
          <w:lang w:val="fr-FR"/>
        </w:rPr>
        <w:t>tat partie prend également les mesures nécessaires pour établir sa compétence aux fins de connaître desdites infractions dans le cas où l</w:t>
      </w:r>
      <w:r w:rsidR="00603708">
        <w:rPr>
          <w:lang w:val="fr-FR"/>
        </w:rPr>
        <w:t>’</w:t>
      </w:r>
      <w:r w:rsidRPr="00D26D31">
        <w:rPr>
          <w:lang w:val="fr-FR"/>
        </w:rPr>
        <w:t xml:space="preserve">auteur présumé de celles-ci se trouve sur tout territoire sous sa juridiction et où ledit </w:t>
      </w:r>
      <w:r w:rsidR="00AA30EB">
        <w:rPr>
          <w:rStyle w:val="sb8d990e2"/>
          <w:rFonts w:cstheme="minorHAnsi"/>
          <w:lang w:val="fr-FR"/>
        </w:rPr>
        <w:t>É</w:t>
      </w:r>
      <w:r w:rsidRPr="00D26D31">
        <w:rPr>
          <w:lang w:val="fr-FR"/>
        </w:rPr>
        <w:t>tat ne l</w:t>
      </w:r>
      <w:r w:rsidR="00603708">
        <w:rPr>
          <w:lang w:val="fr-FR"/>
        </w:rPr>
        <w:t>’</w:t>
      </w:r>
      <w:r w:rsidRPr="00D26D31">
        <w:rPr>
          <w:lang w:val="fr-FR"/>
        </w:rPr>
        <w:t>extrade pas conformément à l</w:t>
      </w:r>
      <w:r w:rsidR="00603708">
        <w:rPr>
          <w:lang w:val="fr-FR"/>
        </w:rPr>
        <w:t>’</w:t>
      </w:r>
      <w:r w:rsidRPr="00D26D31">
        <w:rPr>
          <w:lang w:val="fr-FR"/>
        </w:rPr>
        <w:t>article 8 vers l</w:t>
      </w:r>
      <w:r w:rsidR="00603708">
        <w:rPr>
          <w:lang w:val="fr-FR"/>
        </w:rPr>
        <w:t>’</w:t>
      </w:r>
      <w:r w:rsidRPr="00D26D31">
        <w:rPr>
          <w:lang w:val="fr-FR"/>
        </w:rPr>
        <w:t xml:space="preserve">un des </w:t>
      </w:r>
      <w:r w:rsidR="00AA30EB">
        <w:rPr>
          <w:rStyle w:val="sb8d990e2"/>
          <w:rFonts w:cstheme="minorHAnsi"/>
          <w:lang w:val="fr-FR"/>
        </w:rPr>
        <w:t>É</w:t>
      </w:r>
      <w:r w:rsidRPr="00D26D31">
        <w:rPr>
          <w:lang w:val="fr-FR"/>
        </w:rPr>
        <w:t>tats visés au paragraphe 1 du présent article.</w:t>
      </w:r>
    </w:p>
    <w:p w:rsidR="00D26D31" w:rsidRDefault="00D26D31" w:rsidP="00D26D31">
      <w:pPr>
        <w:pStyle w:val="ECHRParaQuote"/>
        <w:rPr>
          <w:lang w:val="fr-FR"/>
        </w:rPr>
      </w:pPr>
      <w:r w:rsidRPr="00D26D31">
        <w:rPr>
          <w:lang w:val="fr-FR"/>
        </w:rPr>
        <w:t>3.</w:t>
      </w:r>
      <w:r w:rsidR="007F3F54">
        <w:rPr>
          <w:lang w:val="fr-FR"/>
        </w:rPr>
        <w:t>  </w:t>
      </w:r>
      <w:r w:rsidRPr="00D26D31">
        <w:rPr>
          <w:lang w:val="fr-FR"/>
        </w:rPr>
        <w:t>La présente Convention n</w:t>
      </w:r>
      <w:r w:rsidR="00603708">
        <w:rPr>
          <w:lang w:val="fr-FR"/>
        </w:rPr>
        <w:t>’</w:t>
      </w:r>
      <w:r w:rsidRPr="00D26D31">
        <w:rPr>
          <w:lang w:val="fr-FR"/>
        </w:rPr>
        <w:t>écarte aucune compétence pénale exercée conformément aux lois nationales. »</w:t>
      </w:r>
    </w:p>
    <w:p w:rsidR="004A012A" w:rsidRPr="004A012A" w:rsidRDefault="004A012A" w:rsidP="004A012A">
      <w:pPr>
        <w:pStyle w:val="ECHRParaQuote"/>
        <w:jc w:val="center"/>
        <w:rPr>
          <w:b/>
          <w:bCs/>
          <w:lang w:val="fr-FR"/>
        </w:rPr>
      </w:pPr>
      <w:r w:rsidRPr="004A012A">
        <w:rPr>
          <w:b/>
          <w:bCs/>
          <w:lang w:val="fr-FR"/>
        </w:rPr>
        <w:t>Art</w:t>
      </w:r>
      <w:r>
        <w:rPr>
          <w:b/>
          <w:bCs/>
          <w:lang w:val="fr-FR"/>
        </w:rPr>
        <w:t>icle</w:t>
      </w:r>
      <w:r w:rsidRPr="004A012A">
        <w:rPr>
          <w:b/>
          <w:bCs/>
          <w:lang w:val="fr-FR"/>
        </w:rPr>
        <w:t xml:space="preserve"> 10</w:t>
      </w:r>
    </w:p>
    <w:p w:rsidR="004A012A" w:rsidRDefault="004A012A" w:rsidP="004A012A">
      <w:pPr>
        <w:pStyle w:val="ECHRParaQuote"/>
        <w:rPr>
          <w:lang w:val="fr-FR"/>
        </w:rPr>
      </w:pPr>
      <w:r w:rsidRPr="004A012A">
        <w:rPr>
          <w:lang w:val="fr-FR"/>
        </w:rPr>
        <w:t>1.</w:t>
      </w:r>
      <w:r w:rsidR="007F3F54">
        <w:rPr>
          <w:lang w:val="fr-FR"/>
        </w:rPr>
        <w:t>  </w:t>
      </w:r>
      <w:r w:rsidRPr="004A012A">
        <w:rPr>
          <w:lang w:val="fr-FR"/>
        </w:rPr>
        <w:t xml:space="preserve">Tout </w:t>
      </w:r>
      <w:r w:rsidR="00AA30EB">
        <w:rPr>
          <w:rStyle w:val="sb8d990e2"/>
          <w:rFonts w:cstheme="minorHAnsi"/>
          <w:lang w:val="fr-FR"/>
        </w:rPr>
        <w:t>É</w:t>
      </w:r>
      <w:r w:rsidRPr="004A012A">
        <w:rPr>
          <w:lang w:val="fr-FR"/>
        </w:rPr>
        <w:t>tat partie veille à ce que l</w:t>
      </w:r>
      <w:r w:rsidR="00603708">
        <w:rPr>
          <w:lang w:val="fr-FR"/>
        </w:rPr>
        <w:t>’</w:t>
      </w:r>
      <w:r w:rsidRPr="004A012A">
        <w:rPr>
          <w:lang w:val="fr-FR"/>
        </w:rPr>
        <w:t>enseignement et l</w:t>
      </w:r>
      <w:r w:rsidR="00603708">
        <w:rPr>
          <w:lang w:val="fr-FR"/>
        </w:rPr>
        <w:t>’</w:t>
      </w:r>
      <w:r w:rsidRPr="004A012A">
        <w:rPr>
          <w:lang w:val="fr-FR"/>
        </w:rPr>
        <w:t>information concernant</w:t>
      </w:r>
      <w:r>
        <w:rPr>
          <w:lang w:val="fr-FR"/>
        </w:rPr>
        <w:t xml:space="preserve"> </w:t>
      </w:r>
      <w:r w:rsidRPr="004A012A">
        <w:rPr>
          <w:lang w:val="fr-FR"/>
        </w:rPr>
        <w:t>l</w:t>
      </w:r>
      <w:r w:rsidR="00603708">
        <w:rPr>
          <w:lang w:val="fr-FR"/>
        </w:rPr>
        <w:t>’</w:t>
      </w:r>
      <w:r w:rsidRPr="004A012A">
        <w:rPr>
          <w:lang w:val="fr-FR"/>
        </w:rPr>
        <w:t xml:space="preserve">interdiction de la torture fassent partie intégrante de </w:t>
      </w:r>
      <w:r>
        <w:rPr>
          <w:lang w:val="fr-FR"/>
        </w:rPr>
        <w:t xml:space="preserve">la formation du personnel civil </w:t>
      </w:r>
      <w:r w:rsidRPr="004A012A">
        <w:rPr>
          <w:lang w:val="fr-FR"/>
        </w:rPr>
        <w:t>ou militaire chargé de l</w:t>
      </w:r>
      <w:r w:rsidR="00603708">
        <w:rPr>
          <w:lang w:val="fr-FR"/>
        </w:rPr>
        <w:t>’</w:t>
      </w:r>
      <w:r w:rsidRPr="004A012A">
        <w:rPr>
          <w:lang w:val="fr-FR"/>
        </w:rPr>
        <w:t>application des lois, du personnel méd</w:t>
      </w:r>
      <w:r>
        <w:rPr>
          <w:lang w:val="fr-FR"/>
        </w:rPr>
        <w:t xml:space="preserve">ical, des agents de la </w:t>
      </w:r>
      <w:r w:rsidRPr="004A012A">
        <w:rPr>
          <w:lang w:val="fr-FR"/>
        </w:rPr>
        <w:t>fonction publique et des autres personnes qui pe</w:t>
      </w:r>
      <w:r>
        <w:rPr>
          <w:lang w:val="fr-FR"/>
        </w:rPr>
        <w:t xml:space="preserve">uvent intervenir dans la garde, </w:t>
      </w:r>
      <w:r w:rsidRPr="004A012A">
        <w:rPr>
          <w:lang w:val="fr-FR"/>
        </w:rPr>
        <w:t>l</w:t>
      </w:r>
      <w:r w:rsidR="00603708">
        <w:rPr>
          <w:lang w:val="fr-FR"/>
        </w:rPr>
        <w:t>’</w:t>
      </w:r>
      <w:r w:rsidRPr="004A012A">
        <w:rPr>
          <w:lang w:val="fr-FR"/>
        </w:rPr>
        <w:t xml:space="preserve">interrogatoire ou le traitement de tout individu </w:t>
      </w:r>
      <w:r>
        <w:rPr>
          <w:lang w:val="fr-FR"/>
        </w:rPr>
        <w:t>arrêté, détenu ou emprisonné de quelque façon que ce soit.</w:t>
      </w:r>
    </w:p>
    <w:p w:rsidR="004A012A" w:rsidRDefault="004A012A" w:rsidP="004A012A">
      <w:pPr>
        <w:pStyle w:val="ECHRParaQuote"/>
        <w:rPr>
          <w:lang w:val="fr-FR"/>
        </w:rPr>
      </w:pPr>
      <w:r w:rsidRPr="004A012A">
        <w:rPr>
          <w:lang w:val="fr-FR"/>
        </w:rPr>
        <w:t>2.</w:t>
      </w:r>
      <w:r w:rsidR="007F3F54">
        <w:rPr>
          <w:lang w:val="fr-FR"/>
        </w:rPr>
        <w:t>  </w:t>
      </w:r>
      <w:r w:rsidRPr="004A012A">
        <w:rPr>
          <w:lang w:val="fr-FR"/>
        </w:rPr>
        <w:t xml:space="preserve">Tout </w:t>
      </w:r>
      <w:r w:rsidR="00AA30EB">
        <w:rPr>
          <w:rStyle w:val="sb8d990e2"/>
          <w:rFonts w:cstheme="minorHAnsi"/>
          <w:lang w:val="fr-FR"/>
        </w:rPr>
        <w:t>É</w:t>
      </w:r>
      <w:r w:rsidRPr="004A012A">
        <w:rPr>
          <w:lang w:val="fr-FR"/>
        </w:rPr>
        <w:t xml:space="preserve">tat partie incorpore ladite interdiction aux </w:t>
      </w:r>
      <w:r>
        <w:rPr>
          <w:lang w:val="fr-FR"/>
        </w:rPr>
        <w:t>règles ou instructions édictée</w:t>
      </w:r>
      <w:r w:rsidR="008E00A0">
        <w:rPr>
          <w:lang w:val="fr-FR"/>
        </w:rPr>
        <w:t>s</w:t>
      </w:r>
      <w:r>
        <w:rPr>
          <w:lang w:val="fr-FR"/>
        </w:rPr>
        <w:t xml:space="preserve"> </w:t>
      </w:r>
      <w:r w:rsidRPr="004A012A">
        <w:rPr>
          <w:lang w:val="fr-FR"/>
        </w:rPr>
        <w:t>en ce qui concerne les obligations et les attributions de telles personnes.</w:t>
      </w:r>
    </w:p>
    <w:p w:rsidR="004A012A" w:rsidRPr="004A012A" w:rsidRDefault="004A012A" w:rsidP="004A012A">
      <w:pPr>
        <w:pStyle w:val="ECHRParaQuote"/>
        <w:jc w:val="center"/>
        <w:rPr>
          <w:rFonts w:eastAsiaTheme="minorHAnsi"/>
          <w:b/>
          <w:lang w:val="fr-FR"/>
        </w:rPr>
      </w:pPr>
      <w:r w:rsidRPr="004A012A">
        <w:rPr>
          <w:rFonts w:eastAsiaTheme="minorHAnsi"/>
          <w:b/>
          <w:lang w:val="fr-FR"/>
        </w:rPr>
        <w:t>Article 11</w:t>
      </w:r>
    </w:p>
    <w:p w:rsidR="004A012A" w:rsidRPr="004A012A" w:rsidRDefault="004A012A" w:rsidP="004A012A">
      <w:pPr>
        <w:pStyle w:val="ECHRParaQuote"/>
        <w:rPr>
          <w:lang w:val="fr-FR"/>
        </w:rPr>
      </w:pPr>
      <w:r w:rsidRPr="004A012A">
        <w:rPr>
          <w:rFonts w:ascii="TimesNewRoman" w:eastAsiaTheme="minorHAnsi" w:hAnsi="TimesNewRoman" w:cs="TimesNewRoman"/>
          <w:lang w:val="fr-FR"/>
        </w:rPr>
        <w:t xml:space="preserve">Tout </w:t>
      </w:r>
      <w:r w:rsidR="00AA30EB">
        <w:rPr>
          <w:rStyle w:val="sb8d990e2"/>
          <w:rFonts w:cstheme="minorHAnsi"/>
          <w:lang w:val="fr-FR"/>
        </w:rPr>
        <w:t>É</w:t>
      </w:r>
      <w:r w:rsidRPr="004A012A">
        <w:rPr>
          <w:rFonts w:ascii="TimesNewRoman" w:eastAsiaTheme="minorHAnsi" w:hAnsi="TimesNewRoman" w:cs="TimesNewRoman"/>
          <w:lang w:val="fr-FR"/>
        </w:rPr>
        <w:t>tat partie exerce une surveillance systématique sur les règles, instructions,</w:t>
      </w:r>
      <w:r>
        <w:rPr>
          <w:rFonts w:ascii="TimesNewRoman" w:eastAsiaTheme="minorHAnsi" w:hAnsi="TimesNewRoman" w:cs="TimesNewRoman"/>
          <w:lang w:val="fr-FR"/>
        </w:rPr>
        <w:t xml:space="preserve"> </w:t>
      </w:r>
      <w:r w:rsidRPr="004A012A">
        <w:rPr>
          <w:rFonts w:ascii="TimesNewRoman" w:eastAsiaTheme="minorHAnsi" w:hAnsi="TimesNewRoman" w:cs="TimesNewRoman"/>
          <w:lang w:val="fr-FR"/>
        </w:rPr>
        <w:t>méthodes et pratiques d</w:t>
      </w:r>
      <w:r w:rsidR="00603708">
        <w:rPr>
          <w:rFonts w:ascii="TimesNewRoman" w:eastAsiaTheme="minorHAnsi" w:hAnsi="TimesNewRoman" w:cs="TimesNewRoman"/>
          <w:lang w:val="fr-FR"/>
        </w:rPr>
        <w:t>’</w:t>
      </w:r>
      <w:r w:rsidRPr="004A012A">
        <w:rPr>
          <w:rFonts w:ascii="TimesNewRoman" w:eastAsiaTheme="minorHAnsi" w:hAnsi="TimesNewRoman" w:cs="TimesNewRoman"/>
          <w:lang w:val="fr-FR"/>
        </w:rPr>
        <w:t>interrogatoire et sur les dispositions concernant la garde et</w:t>
      </w:r>
      <w:r>
        <w:rPr>
          <w:rFonts w:ascii="TimesNewRoman" w:eastAsiaTheme="minorHAnsi" w:hAnsi="TimesNewRoman" w:cs="TimesNewRoman"/>
          <w:lang w:val="fr-FR"/>
        </w:rPr>
        <w:t xml:space="preserve"> </w:t>
      </w:r>
      <w:r w:rsidRPr="004A012A">
        <w:rPr>
          <w:rFonts w:ascii="TimesNewRoman" w:eastAsiaTheme="minorHAnsi" w:hAnsi="TimesNewRoman" w:cs="TimesNewRoman"/>
          <w:lang w:val="fr-FR"/>
        </w:rPr>
        <w:t>le traitement des personnes arrêtées, détenues ou emprisonnées de quelque façon que</w:t>
      </w:r>
      <w:r>
        <w:rPr>
          <w:rFonts w:ascii="TimesNewRoman" w:eastAsiaTheme="minorHAnsi" w:hAnsi="TimesNewRoman" w:cs="TimesNewRoman"/>
          <w:lang w:val="fr-FR"/>
        </w:rPr>
        <w:t xml:space="preserve"> </w:t>
      </w:r>
      <w:r w:rsidRPr="004A012A">
        <w:rPr>
          <w:rFonts w:ascii="TimesNewRoman" w:eastAsiaTheme="minorHAnsi" w:hAnsi="TimesNewRoman" w:cs="TimesNewRoman"/>
          <w:lang w:val="fr-FR"/>
        </w:rPr>
        <w:t>ce soit sur tout territoire sous sa juridiction, en vue d</w:t>
      </w:r>
      <w:r w:rsidR="00603708">
        <w:rPr>
          <w:rFonts w:ascii="TimesNewRoman" w:eastAsiaTheme="minorHAnsi" w:hAnsi="TimesNewRoman" w:cs="TimesNewRoman"/>
          <w:lang w:val="fr-FR"/>
        </w:rPr>
        <w:t>’</w:t>
      </w:r>
      <w:r w:rsidRPr="004A012A">
        <w:rPr>
          <w:rFonts w:ascii="TimesNewRoman" w:eastAsiaTheme="minorHAnsi" w:hAnsi="TimesNewRoman" w:cs="TimesNewRoman"/>
          <w:lang w:val="fr-FR"/>
        </w:rPr>
        <w:t>éviter tout cas de torture.</w:t>
      </w:r>
    </w:p>
    <w:p w:rsidR="004A012A" w:rsidRPr="004A012A" w:rsidRDefault="004A012A" w:rsidP="004A012A">
      <w:pPr>
        <w:pStyle w:val="ECHRParaQuote"/>
        <w:jc w:val="center"/>
        <w:rPr>
          <w:rStyle w:val="Enfasicorsivo"/>
          <w:i w:val="0"/>
          <w:iCs w:val="0"/>
          <w:szCs w:val="24"/>
          <w:lang w:val="fr-FR"/>
        </w:rPr>
      </w:pPr>
      <w:r w:rsidRPr="004A012A">
        <w:rPr>
          <w:rStyle w:val="Enfasicorsivo"/>
          <w:i w:val="0"/>
          <w:iCs w:val="0"/>
          <w:szCs w:val="24"/>
          <w:lang w:val="fr-FR"/>
        </w:rPr>
        <w:t>Article 12</w:t>
      </w:r>
    </w:p>
    <w:p w:rsidR="004A012A" w:rsidRPr="00E770FB" w:rsidRDefault="004A012A" w:rsidP="004A012A">
      <w:pPr>
        <w:pStyle w:val="ECHRParaQuote"/>
        <w:rPr>
          <w:lang w:val="fr-FR"/>
        </w:rPr>
      </w:pPr>
      <w:r>
        <w:rPr>
          <w:lang w:val="fr-FR"/>
        </w:rPr>
        <w:t>« </w:t>
      </w:r>
      <w:r w:rsidRPr="00E770FB">
        <w:rPr>
          <w:lang w:val="fr-FR"/>
        </w:rPr>
        <w:t>Tout État partie veille à ce que les autorités compét</w:t>
      </w:r>
      <w:r>
        <w:rPr>
          <w:lang w:val="fr-FR"/>
        </w:rPr>
        <w:t xml:space="preserve">entes procèdent immédiatement à </w:t>
      </w:r>
      <w:r w:rsidRPr="00E770FB">
        <w:rPr>
          <w:lang w:val="fr-FR"/>
        </w:rPr>
        <w:t>une enquête impartiale chaque fois qu</w:t>
      </w:r>
      <w:r w:rsidR="00603708">
        <w:rPr>
          <w:lang w:val="fr-FR"/>
        </w:rPr>
        <w:t>’</w:t>
      </w:r>
      <w:r w:rsidRPr="00E770FB">
        <w:rPr>
          <w:lang w:val="fr-FR"/>
        </w:rPr>
        <w:t>il y a des moti</w:t>
      </w:r>
      <w:r>
        <w:rPr>
          <w:lang w:val="fr-FR"/>
        </w:rPr>
        <w:t>fs raisonnables de croire qu</w:t>
      </w:r>
      <w:r w:rsidR="00603708">
        <w:rPr>
          <w:lang w:val="fr-FR"/>
        </w:rPr>
        <w:t>’</w:t>
      </w:r>
      <w:r>
        <w:rPr>
          <w:lang w:val="fr-FR"/>
        </w:rPr>
        <w:t xml:space="preserve">un </w:t>
      </w:r>
      <w:r w:rsidRPr="00E770FB">
        <w:rPr>
          <w:lang w:val="fr-FR"/>
        </w:rPr>
        <w:t>acte de torture a été commis sur tout territoire sous sa juridiction.</w:t>
      </w:r>
      <w:r>
        <w:rPr>
          <w:lang w:val="fr-FR"/>
        </w:rPr>
        <w:t> »</w:t>
      </w:r>
    </w:p>
    <w:p w:rsidR="004A012A" w:rsidRPr="004A012A" w:rsidRDefault="004A012A" w:rsidP="004A012A">
      <w:pPr>
        <w:pStyle w:val="ECHRParaQuote"/>
        <w:jc w:val="center"/>
        <w:rPr>
          <w:rStyle w:val="Enfasicorsivo"/>
          <w:i w:val="0"/>
          <w:iCs w:val="0"/>
          <w:szCs w:val="24"/>
          <w:lang w:val="fr-FR"/>
        </w:rPr>
      </w:pPr>
      <w:r w:rsidRPr="004A012A">
        <w:rPr>
          <w:rStyle w:val="Enfasicorsivo"/>
          <w:i w:val="0"/>
          <w:iCs w:val="0"/>
          <w:szCs w:val="24"/>
          <w:lang w:val="fr-FR"/>
        </w:rPr>
        <w:t>Article 13</w:t>
      </w:r>
    </w:p>
    <w:p w:rsidR="0032468C" w:rsidRDefault="004A012A" w:rsidP="004A012A">
      <w:pPr>
        <w:pStyle w:val="ECHRParaQuote"/>
        <w:rPr>
          <w:lang w:val="fr-FR"/>
        </w:rPr>
      </w:pPr>
      <w:r>
        <w:rPr>
          <w:lang w:val="fr-FR"/>
        </w:rPr>
        <w:t>« </w:t>
      </w:r>
      <w:r w:rsidRPr="00E770FB">
        <w:rPr>
          <w:lang w:val="fr-FR"/>
        </w:rPr>
        <w:t>Tout État partie assure à toute personne qui prétend avo</w:t>
      </w:r>
      <w:r>
        <w:rPr>
          <w:lang w:val="fr-FR"/>
        </w:rPr>
        <w:t xml:space="preserve">ir été soumise à la torture sur </w:t>
      </w:r>
      <w:r w:rsidRPr="00E770FB">
        <w:rPr>
          <w:lang w:val="fr-FR"/>
        </w:rPr>
        <w:t>tout territoire sous sa juridiction le droit de porter plainte devant les autorités compétentes</w:t>
      </w:r>
      <w:r>
        <w:rPr>
          <w:lang w:val="fr-FR"/>
        </w:rPr>
        <w:t xml:space="preserve"> </w:t>
      </w:r>
      <w:r w:rsidRPr="00E770FB">
        <w:rPr>
          <w:lang w:val="fr-FR"/>
        </w:rPr>
        <w:t>dudit État qui procéderont immédiatement et impartialement à l</w:t>
      </w:r>
      <w:r w:rsidR="00603708">
        <w:rPr>
          <w:lang w:val="fr-FR"/>
        </w:rPr>
        <w:t>’</w:t>
      </w:r>
      <w:r w:rsidRPr="00E770FB">
        <w:rPr>
          <w:lang w:val="fr-FR"/>
        </w:rPr>
        <w:t>examen de</w:t>
      </w:r>
      <w:r>
        <w:rPr>
          <w:lang w:val="fr-FR"/>
        </w:rPr>
        <w:t xml:space="preserve"> </w:t>
      </w:r>
      <w:r w:rsidRPr="00E770FB">
        <w:rPr>
          <w:lang w:val="fr-FR"/>
        </w:rPr>
        <w:t>sa cause. Des mesures seront prises pour assurer la</w:t>
      </w:r>
      <w:r>
        <w:rPr>
          <w:lang w:val="fr-FR"/>
        </w:rPr>
        <w:t xml:space="preserve"> protection du plaignant et des </w:t>
      </w:r>
      <w:r w:rsidRPr="00E770FB">
        <w:rPr>
          <w:lang w:val="fr-FR"/>
        </w:rPr>
        <w:t>témoins contre tout mauvais traitement ou toute intim</w:t>
      </w:r>
      <w:r>
        <w:rPr>
          <w:lang w:val="fr-FR"/>
        </w:rPr>
        <w:t xml:space="preserve">idation en raison de la plainte </w:t>
      </w:r>
      <w:r w:rsidRPr="00E770FB">
        <w:rPr>
          <w:lang w:val="fr-FR"/>
        </w:rPr>
        <w:t>déposée ou de toute déposition faite.</w:t>
      </w:r>
      <w:r>
        <w:rPr>
          <w:lang w:val="fr-FR"/>
        </w:rPr>
        <w:t> »</w:t>
      </w:r>
    </w:p>
    <w:p w:rsidR="004A012A" w:rsidRPr="00D26D31" w:rsidRDefault="004A012A" w:rsidP="000B5793">
      <w:pPr>
        <w:pStyle w:val="ECHRParaQuote"/>
        <w:keepNext/>
        <w:jc w:val="center"/>
        <w:rPr>
          <w:b/>
          <w:lang w:val="fr-FR"/>
        </w:rPr>
      </w:pPr>
      <w:r w:rsidRPr="00D26D31">
        <w:rPr>
          <w:b/>
          <w:lang w:val="fr-FR"/>
        </w:rPr>
        <w:t>Article 14</w:t>
      </w:r>
    </w:p>
    <w:p w:rsidR="004A012A" w:rsidRPr="00D26D31" w:rsidRDefault="004A012A" w:rsidP="004A012A">
      <w:pPr>
        <w:pStyle w:val="ECHRParaQuote"/>
        <w:rPr>
          <w:lang w:val="fr-FR"/>
        </w:rPr>
      </w:pPr>
      <w:r w:rsidRPr="00D26D31">
        <w:rPr>
          <w:lang w:val="fr-FR"/>
        </w:rPr>
        <w:t>« 1.  Tout État partie garantit, dans son système juridique, à la victime d</w:t>
      </w:r>
      <w:r w:rsidR="00603708">
        <w:rPr>
          <w:lang w:val="fr-FR"/>
        </w:rPr>
        <w:t>’</w:t>
      </w:r>
      <w:r w:rsidRPr="00D26D31">
        <w:rPr>
          <w:lang w:val="fr-FR"/>
        </w:rPr>
        <w:t>un acte de torture, le droit d</w:t>
      </w:r>
      <w:r w:rsidR="00603708">
        <w:rPr>
          <w:lang w:val="fr-FR"/>
        </w:rPr>
        <w:t>’</w:t>
      </w:r>
      <w:r w:rsidRPr="00D26D31">
        <w:rPr>
          <w:lang w:val="fr-FR"/>
        </w:rPr>
        <w:t>obtenir réparation et d</w:t>
      </w:r>
      <w:r w:rsidR="00603708">
        <w:rPr>
          <w:lang w:val="fr-FR"/>
        </w:rPr>
        <w:t>’</w:t>
      </w:r>
      <w:r w:rsidRPr="00D26D31">
        <w:rPr>
          <w:lang w:val="fr-FR"/>
        </w:rPr>
        <w:t>être indemnisée équitablement et de manière adéquate, y compris les moyens nécessaires à sa réadaptation la plus complète possible. En cas de mort de la victime résultant d</w:t>
      </w:r>
      <w:r w:rsidR="00603708">
        <w:rPr>
          <w:lang w:val="fr-FR"/>
        </w:rPr>
        <w:t>’</w:t>
      </w:r>
      <w:r w:rsidRPr="00D26D31">
        <w:rPr>
          <w:lang w:val="fr-FR"/>
        </w:rPr>
        <w:t>un acte de torture, les ayants cause de celle-ci ont d</w:t>
      </w:r>
      <w:r>
        <w:rPr>
          <w:lang w:val="fr-FR"/>
        </w:rPr>
        <w:t>r</w:t>
      </w:r>
      <w:r w:rsidRPr="00D26D31">
        <w:rPr>
          <w:lang w:val="fr-FR"/>
        </w:rPr>
        <w:t>oit à indemnisation.</w:t>
      </w:r>
    </w:p>
    <w:p w:rsidR="004A012A" w:rsidRPr="00D26D31" w:rsidRDefault="004A012A" w:rsidP="004A012A">
      <w:pPr>
        <w:pStyle w:val="ECHRParaQuote"/>
        <w:rPr>
          <w:lang w:val="fr-FR"/>
        </w:rPr>
      </w:pPr>
      <w:r w:rsidRPr="00D26D31">
        <w:rPr>
          <w:lang w:val="fr-FR"/>
        </w:rPr>
        <w:t>2.  Le présent article n</w:t>
      </w:r>
      <w:r w:rsidR="00603708">
        <w:rPr>
          <w:lang w:val="fr-FR"/>
        </w:rPr>
        <w:t>’</w:t>
      </w:r>
      <w:r w:rsidRPr="00D26D31">
        <w:rPr>
          <w:lang w:val="fr-FR"/>
        </w:rPr>
        <w:t>exclut aucun droit à indemnisation qu</w:t>
      </w:r>
      <w:r w:rsidR="00603708">
        <w:rPr>
          <w:lang w:val="fr-FR"/>
        </w:rPr>
        <w:t>’</w:t>
      </w:r>
      <w:r w:rsidRPr="00D26D31">
        <w:rPr>
          <w:lang w:val="fr-FR"/>
        </w:rPr>
        <w:t>aurait la victime ou toute autre personne en vertu des lois nationales. »</w:t>
      </w:r>
    </w:p>
    <w:p w:rsidR="004A012A" w:rsidRPr="004A012A" w:rsidRDefault="004A012A" w:rsidP="004A012A">
      <w:pPr>
        <w:pStyle w:val="ECHRParaQuote"/>
        <w:jc w:val="center"/>
        <w:rPr>
          <w:rStyle w:val="Enfasicorsivo"/>
          <w:i w:val="0"/>
          <w:iCs w:val="0"/>
          <w:szCs w:val="24"/>
          <w:lang w:val="fr-FR"/>
        </w:rPr>
      </w:pPr>
      <w:r w:rsidRPr="004A012A">
        <w:rPr>
          <w:rStyle w:val="Enfasicorsivo"/>
          <w:i w:val="0"/>
          <w:iCs w:val="0"/>
          <w:szCs w:val="24"/>
          <w:lang w:val="fr-FR"/>
        </w:rPr>
        <w:t>Article 16</w:t>
      </w:r>
    </w:p>
    <w:p w:rsidR="004A012A" w:rsidRDefault="004A012A" w:rsidP="004A012A">
      <w:pPr>
        <w:pStyle w:val="ECHRParaQuote"/>
        <w:rPr>
          <w:lang w:val="fr-FR"/>
        </w:rPr>
      </w:pPr>
      <w:r>
        <w:rPr>
          <w:lang w:val="fr-FR"/>
        </w:rPr>
        <w:t>« </w:t>
      </w:r>
      <w:r w:rsidRPr="00E770FB">
        <w:rPr>
          <w:lang w:val="fr-FR"/>
        </w:rPr>
        <w:t>1.</w:t>
      </w:r>
      <w:r w:rsidR="007F3F54">
        <w:rPr>
          <w:lang w:val="fr-FR"/>
        </w:rPr>
        <w:t>  </w:t>
      </w:r>
      <w:r w:rsidRPr="00E770FB">
        <w:rPr>
          <w:lang w:val="fr-FR"/>
        </w:rPr>
        <w:t>Tout État partie s</w:t>
      </w:r>
      <w:r w:rsidR="00603708">
        <w:rPr>
          <w:lang w:val="fr-FR"/>
        </w:rPr>
        <w:t>’</w:t>
      </w:r>
      <w:r w:rsidRPr="00E770FB">
        <w:rPr>
          <w:lang w:val="fr-FR"/>
        </w:rPr>
        <w:t>engage à interdire dans tout territoire sous sa juridiction</w:t>
      </w:r>
      <w:r>
        <w:rPr>
          <w:lang w:val="fr-FR"/>
        </w:rPr>
        <w:t xml:space="preserve"> </w:t>
      </w:r>
      <w:r w:rsidRPr="00E770FB">
        <w:rPr>
          <w:lang w:val="fr-FR"/>
        </w:rPr>
        <w:t>d</w:t>
      </w:r>
      <w:r w:rsidR="00603708">
        <w:rPr>
          <w:lang w:val="fr-FR"/>
        </w:rPr>
        <w:t>’</w:t>
      </w:r>
      <w:r w:rsidRPr="00E770FB">
        <w:rPr>
          <w:lang w:val="fr-FR"/>
        </w:rPr>
        <w:t>autres actes constitutifs de peines ou traitements cruels, inhumains ou dégradants</w:t>
      </w:r>
      <w:r>
        <w:rPr>
          <w:lang w:val="fr-FR"/>
        </w:rPr>
        <w:t xml:space="preserve"> </w:t>
      </w:r>
      <w:r w:rsidRPr="00E770FB">
        <w:rPr>
          <w:lang w:val="fr-FR"/>
        </w:rPr>
        <w:t>qui ne sont pas des actes de torture telle qu</w:t>
      </w:r>
      <w:r w:rsidR="00603708">
        <w:rPr>
          <w:lang w:val="fr-FR"/>
        </w:rPr>
        <w:t>’</w:t>
      </w:r>
      <w:r w:rsidRPr="00E770FB">
        <w:rPr>
          <w:lang w:val="fr-FR"/>
        </w:rPr>
        <w:t>elle est défi</w:t>
      </w:r>
      <w:r>
        <w:rPr>
          <w:lang w:val="fr-FR"/>
        </w:rPr>
        <w:t>nie à l</w:t>
      </w:r>
      <w:r w:rsidR="00603708">
        <w:rPr>
          <w:lang w:val="fr-FR"/>
        </w:rPr>
        <w:t>’</w:t>
      </w:r>
      <w:r>
        <w:rPr>
          <w:lang w:val="fr-FR"/>
        </w:rPr>
        <w:t xml:space="preserve">article premier lorsque </w:t>
      </w:r>
      <w:r w:rsidRPr="00E770FB">
        <w:rPr>
          <w:lang w:val="fr-FR"/>
        </w:rPr>
        <w:t>de tels actes sont commis par un agent de la fonction p</w:t>
      </w:r>
      <w:r>
        <w:rPr>
          <w:lang w:val="fr-FR"/>
        </w:rPr>
        <w:t xml:space="preserve">ublique ou toute autre personne </w:t>
      </w:r>
      <w:r w:rsidRPr="00E770FB">
        <w:rPr>
          <w:lang w:val="fr-FR"/>
        </w:rPr>
        <w:t xml:space="preserve">agissant à titre officiel, ou à son instigation </w:t>
      </w:r>
      <w:r>
        <w:rPr>
          <w:lang w:val="fr-FR"/>
        </w:rPr>
        <w:t xml:space="preserve">ou avec son consentement exprès </w:t>
      </w:r>
      <w:r w:rsidRPr="00E770FB">
        <w:rPr>
          <w:lang w:val="fr-FR"/>
        </w:rPr>
        <w:t>ou tacite. En particulier, l</w:t>
      </w:r>
      <w:r>
        <w:rPr>
          <w:lang w:val="fr-FR"/>
        </w:rPr>
        <w:t>es obligations énoncées aux articles</w:t>
      </w:r>
      <w:r w:rsidRPr="00E770FB">
        <w:rPr>
          <w:lang w:val="fr-FR"/>
        </w:rPr>
        <w:t xml:space="preserve"> 10, 11, 12 et 13 sont appli</w:t>
      </w:r>
      <w:r>
        <w:rPr>
          <w:lang w:val="fr-FR"/>
        </w:rPr>
        <w:t>cables</w:t>
      </w:r>
      <w:r w:rsidRPr="00E770FB">
        <w:rPr>
          <w:rFonts w:ascii="TimesNewRoman" w:eastAsiaTheme="minorHAnsi" w:hAnsi="TimesNewRoman" w:cs="TimesNewRoman"/>
          <w:sz w:val="18"/>
          <w:szCs w:val="18"/>
          <w:lang w:val="fr-FR"/>
        </w:rPr>
        <w:t xml:space="preserve"> </w:t>
      </w:r>
      <w:r w:rsidRPr="00E770FB">
        <w:rPr>
          <w:lang w:val="fr-FR"/>
        </w:rPr>
        <w:t>cables moyennant le remplacement de la mention de la torture par la mention</w:t>
      </w:r>
      <w:r>
        <w:rPr>
          <w:lang w:val="fr-FR"/>
        </w:rPr>
        <w:t xml:space="preserve"> </w:t>
      </w:r>
      <w:r w:rsidRPr="00E770FB">
        <w:rPr>
          <w:lang w:val="fr-FR"/>
        </w:rPr>
        <w:t>d</w:t>
      </w:r>
      <w:r w:rsidR="00603708">
        <w:rPr>
          <w:lang w:val="fr-FR"/>
        </w:rPr>
        <w:t>’</w:t>
      </w:r>
      <w:r w:rsidRPr="00E770FB">
        <w:rPr>
          <w:lang w:val="fr-FR"/>
        </w:rPr>
        <w:t>autres formes de peines ou traitements c</w:t>
      </w:r>
      <w:r>
        <w:rPr>
          <w:lang w:val="fr-FR"/>
        </w:rPr>
        <w:t>ruels, inhumains ou dégradants.</w:t>
      </w:r>
    </w:p>
    <w:p w:rsidR="004A012A" w:rsidRPr="00E770FB" w:rsidRDefault="004A012A" w:rsidP="004A012A">
      <w:pPr>
        <w:pStyle w:val="ECHRParaQuote"/>
        <w:rPr>
          <w:lang w:val="fr-FR"/>
        </w:rPr>
      </w:pPr>
      <w:r w:rsidRPr="00E770FB">
        <w:rPr>
          <w:lang w:val="fr-FR"/>
        </w:rPr>
        <w:t>2.</w:t>
      </w:r>
      <w:r w:rsidR="007F3F54">
        <w:rPr>
          <w:lang w:val="fr-FR"/>
        </w:rPr>
        <w:t>  </w:t>
      </w:r>
      <w:r w:rsidRPr="00E770FB">
        <w:rPr>
          <w:lang w:val="fr-FR"/>
        </w:rPr>
        <w:t>Les dispositions de la présente Convention sont san</w:t>
      </w:r>
      <w:r>
        <w:rPr>
          <w:lang w:val="fr-FR"/>
        </w:rPr>
        <w:t xml:space="preserve">s préjudice des dispositions de </w:t>
      </w:r>
      <w:r w:rsidRPr="00E770FB">
        <w:rPr>
          <w:lang w:val="fr-FR"/>
        </w:rPr>
        <w:t>tout autre instrument international ou de la loi national</w:t>
      </w:r>
      <w:r>
        <w:rPr>
          <w:lang w:val="fr-FR"/>
        </w:rPr>
        <w:t xml:space="preserve">e qui interdisent les peines ou </w:t>
      </w:r>
      <w:r w:rsidRPr="00E770FB">
        <w:rPr>
          <w:lang w:val="fr-FR"/>
        </w:rPr>
        <w:t>traitements cruels, inhumains ou dégradants, ou qui ont trait à l</w:t>
      </w:r>
      <w:r w:rsidR="00603708">
        <w:rPr>
          <w:lang w:val="fr-FR"/>
        </w:rPr>
        <w:t>’</w:t>
      </w:r>
      <w:r w:rsidRPr="00E770FB">
        <w:rPr>
          <w:lang w:val="fr-FR"/>
        </w:rPr>
        <w:t xml:space="preserve">extradition ou </w:t>
      </w:r>
      <w:r>
        <w:rPr>
          <w:lang w:val="fr-FR"/>
        </w:rPr>
        <w:t xml:space="preserve">à </w:t>
      </w:r>
      <w:r w:rsidRPr="00E770FB">
        <w:rPr>
          <w:lang w:val="fr-FR"/>
        </w:rPr>
        <w:t>l</w:t>
      </w:r>
      <w:r w:rsidR="00603708">
        <w:rPr>
          <w:lang w:val="fr-FR"/>
        </w:rPr>
        <w:t>’</w:t>
      </w:r>
      <w:r w:rsidRPr="00E770FB">
        <w:rPr>
          <w:lang w:val="fr-FR"/>
        </w:rPr>
        <w:t>expulsion.</w:t>
      </w:r>
      <w:r>
        <w:rPr>
          <w:lang w:val="fr-FR"/>
        </w:rPr>
        <w:t> »</w:t>
      </w:r>
    </w:p>
    <w:p w:rsidR="00D26D31" w:rsidRPr="00D26D31" w:rsidRDefault="00CF20B7" w:rsidP="00CF20B7">
      <w:pPr>
        <w:pStyle w:val="ECHRHeading2"/>
        <w:rPr>
          <w:lang w:val="fr-FR"/>
        </w:rPr>
      </w:pPr>
      <w:r>
        <w:rPr>
          <w:lang w:val="fr-FR"/>
        </w:rPr>
        <w:t>D</w:t>
      </w:r>
      <w:r w:rsidR="00D26D31" w:rsidRPr="00D26D31">
        <w:rPr>
          <w:lang w:val="fr-FR"/>
        </w:rPr>
        <w:t>.  Déclaration sur la protection de toutes les personnes contre la torture et autres peines ou traitements cruels, inhumains ou dégradants</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110</w:t>
      </w:r>
      <w:r>
        <w:fldChar w:fldCharType="end"/>
      </w:r>
      <w:r w:rsidRPr="00D26D31">
        <w:rPr>
          <w:lang w:val="fr-FR"/>
        </w:rPr>
        <w:t xml:space="preserve">.  Les articles pertinents </w:t>
      </w:r>
      <w:r w:rsidR="007F3F54">
        <w:rPr>
          <w:lang w:val="fr-FR"/>
        </w:rPr>
        <w:t>en l</w:t>
      </w:r>
      <w:r w:rsidR="00603708">
        <w:rPr>
          <w:lang w:val="fr-FR"/>
        </w:rPr>
        <w:t>’</w:t>
      </w:r>
      <w:r w:rsidR="007F3F54">
        <w:rPr>
          <w:lang w:val="fr-FR"/>
        </w:rPr>
        <w:t xml:space="preserve">espèce </w:t>
      </w:r>
      <w:r w:rsidRPr="00D26D31">
        <w:rPr>
          <w:lang w:val="fr-FR"/>
        </w:rPr>
        <w:t>de la Déclaration sur la protection de toutes les personnes contre la torture et autres peines ou traitements cruels, inhumains ou dégradants, adoptée par l</w:t>
      </w:r>
      <w:r w:rsidR="00603708">
        <w:rPr>
          <w:lang w:val="fr-FR"/>
        </w:rPr>
        <w:t>’</w:t>
      </w:r>
      <w:r w:rsidRPr="00D26D31">
        <w:rPr>
          <w:lang w:val="fr-FR"/>
        </w:rPr>
        <w:t>Assemblée générale des Nations unies le 9 décembre 1975, sont ainsi libellés :</w:t>
      </w:r>
    </w:p>
    <w:p w:rsidR="00D26D31" w:rsidRPr="004A012A" w:rsidRDefault="00D26D31" w:rsidP="00D26D31">
      <w:pPr>
        <w:pStyle w:val="ECHRParaQuote"/>
        <w:jc w:val="center"/>
        <w:rPr>
          <w:lang w:val="fr-FR"/>
        </w:rPr>
      </w:pPr>
      <w:r w:rsidRPr="004A012A">
        <w:rPr>
          <w:rStyle w:val="Enfasicorsivo"/>
          <w:i w:val="0"/>
          <w:iCs w:val="0"/>
          <w:szCs w:val="24"/>
          <w:lang w:val="fr-FR"/>
        </w:rPr>
        <w:t>Article 4</w:t>
      </w:r>
    </w:p>
    <w:p w:rsidR="00D26D31" w:rsidRPr="00D26D31" w:rsidRDefault="00D26D31" w:rsidP="00D26D31">
      <w:pPr>
        <w:pStyle w:val="ECHRParaQuote"/>
        <w:rPr>
          <w:lang w:val="fr-FR"/>
        </w:rPr>
      </w:pPr>
      <w:r w:rsidRPr="00D26D31">
        <w:rPr>
          <w:lang w:val="fr-FR"/>
        </w:rPr>
        <w:t>« Tout État, conformément aux dispositions de la présente Déclaration, prend des mesures effectives pour empêcher que la torture et autres peines ou traitements cruels, inhumains ou dégradants ne soient pratiqués dans sa juridiction. »</w:t>
      </w:r>
    </w:p>
    <w:p w:rsidR="00D26D31" w:rsidRPr="004A012A" w:rsidRDefault="00D26D31" w:rsidP="00D26D31">
      <w:pPr>
        <w:pStyle w:val="ECHRParaQuote"/>
        <w:jc w:val="center"/>
        <w:rPr>
          <w:lang w:val="fr-FR"/>
        </w:rPr>
      </w:pPr>
      <w:r w:rsidRPr="004A012A">
        <w:rPr>
          <w:rStyle w:val="Enfasicorsivo"/>
          <w:i w:val="0"/>
          <w:iCs w:val="0"/>
          <w:szCs w:val="24"/>
          <w:lang w:val="fr-FR"/>
        </w:rPr>
        <w:t>Article 7</w:t>
      </w:r>
    </w:p>
    <w:p w:rsidR="00D26D31" w:rsidRPr="00D26D31" w:rsidRDefault="00D26D31" w:rsidP="00D26D31">
      <w:pPr>
        <w:pStyle w:val="ECHRParaQuote"/>
        <w:rPr>
          <w:lang w:val="fr-FR"/>
        </w:rPr>
      </w:pPr>
      <w:r w:rsidRPr="00D26D31">
        <w:rPr>
          <w:lang w:val="fr-FR"/>
        </w:rPr>
        <w:t>« Tout État veille à ce que tous les actes de torture, tels qu</w:t>
      </w:r>
      <w:r w:rsidR="00603708">
        <w:rPr>
          <w:lang w:val="fr-FR"/>
        </w:rPr>
        <w:t>’</w:t>
      </w:r>
      <w:r w:rsidRPr="00D26D31">
        <w:rPr>
          <w:lang w:val="fr-FR"/>
        </w:rPr>
        <w:t>ils sont définis à l</w:t>
      </w:r>
      <w:r w:rsidR="00603708">
        <w:rPr>
          <w:lang w:val="fr-FR"/>
        </w:rPr>
        <w:t>’</w:t>
      </w:r>
      <w:r w:rsidRPr="00D26D31">
        <w:rPr>
          <w:lang w:val="fr-FR"/>
        </w:rPr>
        <w:t>article premier, soient des délits au regard de sa législation pénale. Les mêmes dispositions doivent s</w:t>
      </w:r>
      <w:r w:rsidR="00603708">
        <w:rPr>
          <w:lang w:val="fr-FR"/>
        </w:rPr>
        <w:t>’</w:t>
      </w:r>
      <w:r w:rsidRPr="00D26D31">
        <w:rPr>
          <w:lang w:val="fr-FR"/>
        </w:rPr>
        <w:t>appliquer aux actes qui constituent une participation, une complicité ou une incitation à la torture ou une tentative de pratiquer la torture. »</w:t>
      </w:r>
    </w:p>
    <w:p w:rsidR="00D26D31" w:rsidRPr="004A012A" w:rsidRDefault="00D26D31" w:rsidP="00D26D31">
      <w:pPr>
        <w:pStyle w:val="ECHRParaQuote"/>
        <w:jc w:val="center"/>
        <w:rPr>
          <w:lang w:val="fr-FR"/>
        </w:rPr>
      </w:pPr>
      <w:r w:rsidRPr="004A012A">
        <w:rPr>
          <w:rStyle w:val="Enfasicorsivo"/>
          <w:i w:val="0"/>
          <w:iCs w:val="0"/>
          <w:szCs w:val="24"/>
          <w:lang w:val="fr-FR"/>
        </w:rPr>
        <w:t>Article 10</w:t>
      </w:r>
    </w:p>
    <w:p w:rsidR="00D26D31" w:rsidRPr="00D26D31" w:rsidRDefault="00D26D31" w:rsidP="00D26D31">
      <w:pPr>
        <w:pStyle w:val="ECHRParaQuote"/>
        <w:rPr>
          <w:lang w:val="fr-FR"/>
        </w:rPr>
      </w:pPr>
      <w:r w:rsidRPr="00D26D31">
        <w:rPr>
          <w:lang w:val="fr-FR"/>
        </w:rPr>
        <w:t>« Si une enquête effectuée conformément à l</w:t>
      </w:r>
      <w:r w:rsidR="00603708">
        <w:rPr>
          <w:lang w:val="fr-FR"/>
        </w:rPr>
        <w:t>’</w:t>
      </w:r>
      <w:r w:rsidRPr="00D26D31">
        <w:rPr>
          <w:lang w:val="fr-FR"/>
        </w:rPr>
        <w:t>article 8 ou à l</w:t>
      </w:r>
      <w:r w:rsidR="00603708">
        <w:rPr>
          <w:lang w:val="fr-FR"/>
        </w:rPr>
        <w:t>’</w:t>
      </w:r>
      <w:r w:rsidRPr="00D26D31">
        <w:rPr>
          <w:lang w:val="fr-FR"/>
        </w:rPr>
        <w:t>article 9 établit qu</w:t>
      </w:r>
      <w:r w:rsidR="00603708">
        <w:rPr>
          <w:lang w:val="fr-FR"/>
        </w:rPr>
        <w:t>’</w:t>
      </w:r>
      <w:r w:rsidRPr="00D26D31">
        <w:rPr>
          <w:lang w:val="fr-FR"/>
        </w:rPr>
        <w:t>un acte de torture, tel qu</w:t>
      </w:r>
      <w:r w:rsidR="00603708">
        <w:rPr>
          <w:lang w:val="fr-FR"/>
        </w:rPr>
        <w:t>’</w:t>
      </w:r>
      <w:r w:rsidRPr="00D26D31">
        <w:rPr>
          <w:lang w:val="fr-FR"/>
        </w:rPr>
        <w:t>il est défini à l</w:t>
      </w:r>
      <w:r w:rsidR="00603708">
        <w:rPr>
          <w:lang w:val="fr-FR"/>
        </w:rPr>
        <w:t>’</w:t>
      </w:r>
      <w:r w:rsidRPr="00D26D31">
        <w:rPr>
          <w:lang w:val="fr-FR"/>
        </w:rPr>
        <w:t>article premier, a été manifestement commis, une procédure pénale est instituée, conformément à la législation nationale, contre le ou les auteurs présumés de l</w:t>
      </w:r>
      <w:r w:rsidR="00603708">
        <w:rPr>
          <w:lang w:val="fr-FR"/>
        </w:rPr>
        <w:t>’</w:t>
      </w:r>
      <w:r w:rsidRPr="00D26D31">
        <w:rPr>
          <w:lang w:val="fr-FR"/>
        </w:rPr>
        <w:t>acte. Si une allégation concernant d</w:t>
      </w:r>
      <w:r w:rsidR="00603708">
        <w:rPr>
          <w:lang w:val="fr-FR"/>
        </w:rPr>
        <w:t>’</w:t>
      </w:r>
      <w:r w:rsidRPr="00D26D31">
        <w:rPr>
          <w:lang w:val="fr-FR"/>
        </w:rPr>
        <w:t>autres formes de peines ou traitements cruels, inhumains ou dégradants est considérée comme fondée, le ou les auteurs présumés font l</w:t>
      </w:r>
      <w:r w:rsidR="00603708">
        <w:rPr>
          <w:lang w:val="fr-FR"/>
        </w:rPr>
        <w:t>’</w:t>
      </w:r>
      <w:r w:rsidRPr="00D26D31">
        <w:rPr>
          <w:lang w:val="fr-FR"/>
        </w:rPr>
        <w:t>objet de procédures pénales ou disciplinaires ou d</w:t>
      </w:r>
      <w:r w:rsidR="00603708">
        <w:rPr>
          <w:lang w:val="fr-FR"/>
        </w:rPr>
        <w:t>’</w:t>
      </w:r>
      <w:r w:rsidRPr="00D26D31">
        <w:rPr>
          <w:lang w:val="fr-FR"/>
        </w:rPr>
        <w:t>autres procédures appropriées. »</w:t>
      </w:r>
    </w:p>
    <w:p w:rsidR="00D26D31" w:rsidRPr="004A012A" w:rsidRDefault="00D26D31" w:rsidP="00D26D31">
      <w:pPr>
        <w:pStyle w:val="ECHRParaQuote"/>
        <w:jc w:val="center"/>
        <w:rPr>
          <w:rStyle w:val="Enfasicorsivo"/>
          <w:i w:val="0"/>
          <w:iCs w:val="0"/>
          <w:szCs w:val="24"/>
          <w:lang w:val="fr-FR"/>
        </w:rPr>
      </w:pPr>
      <w:r w:rsidRPr="004A012A">
        <w:rPr>
          <w:rStyle w:val="Enfasicorsivo"/>
          <w:i w:val="0"/>
          <w:iCs w:val="0"/>
          <w:szCs w:val="24"/>
          <w:lang w:val="fr-FR"/>
        </w:rPr>
        <w:t>Article 11</w:t>
      </w:r>
    </w:p>
    <w:p w:rsidR="00D26D31" w:rsidRDefault="00D26D31" w:rsidP="00D26D31">
      <w:pPr>
        <w:pStyle w:val="ECHRParaQuote"/>
        <w:rPr>
          <w:lang w:val="fr-FR"/>
        </w:rPr>
      </w:pPr>
      <w:r w:rsidRPr="00D26D31">
        <w:rPr>
          <w:lang w:val="fr-FR"/>
        </w:rPr>
        <w:t>« Quand il est établi qu</w:t>
      </w:r>
      <w:r w:rsidR="00603708">
        <w:rPr>
          <w:lang w:val="fr-FR"/>
        </w:rPr>
        <w:t>’</w:t>
      </w:r>
      <w:r w:rsidRPr="00D26D31">
        <w:rPr>
          <w:lang w:val="fr-FR"/>
        </w:rPr>
        <w:t>un acte de torture ou d</w:t>
      </w:r>
      <w:r w:rsidR="00603708">
        <w:rPr>
          <w:lang w:val="fr-FR"/>
        </w:rPr>
        <w:t>’</w:t>
      </w:r>
      <w:r w:rsidRPr="00D26D31">
        <w:rPr>
          <w:lang w:val="fr-FR"/>
        </w:rPr>
        <w:t>autres peines ou traitements cruels, inhumains ou dégradants ont été commis par un agent de la fonction publique ou à son instigation, la victime a droit à réparation et à indemnisation, conformément à la législation nationale. »</w:t>
      </w:r>
    </w:p>
    <w:p w:rsidR="00D26D31" w:rsidRPr="00D26D31" w:rsidRDefault="00CF20B7" w:rsidP="00CF20B7">
      <w:pPr>
        <w:pStyle w:val="ECHRHeading2"/>
        <w:rPr>
          <w:lang w:val="fr-FR"/>
        </w:rPr>
      </w:pPr>
      <w:r>
        <w:rPr>
          <w:rStyle w:val="ju-005fh-005fa-0020char--char"/>
          <w:lang w:val="fr-FR"/>
        </w:rPr>
        <w:t>E</w:t>
      </w:r>
      <w:r w:rsidR="00D26D31" w:rsidRPr="00D26D31">
        <w:rPr>
          <w:rStyle w:val="ju-005fh-005fa-0020char--char"/>
          <w:lang w:val="fr-FR"/>
        </w:rPr>
        <w:t>.  Principes de base de l</w:t>
      </w:r>
      <w:r w:rsidR="00603708">
        <w:rPr>
          <w:rStyle w:val="ju-005fh-005fa-0020char--char"/>
          <w:lang w:val="fr-FR"/>
        </w:rPr>
        <w:t>’</w:t>
      </w:r>
      <w:r w:rsidR="00D26D31" w:rsidRPr="00D26D31">
        <w:rPr>
          <w:rStyle w:val="ju-005fh-005fa-0020char--char"/>
          <w:lang w:val="fr-FR"/>
        </w:rPr>
        <w:t>ONU sur le recours à la force et l</w:t>
      </w:r>
      <w:r w:rsidR="00603708">
        <w:rPr>
          <w:rStyle w:val="ju-005fh-005fa-0020char--char"/>
          <w:lang w:val="fr-FR"/>
        </w:rPr>
        <w:t>’</w:t>
      </w:r>
      <w:r w:rsidR="00D26D31" w:rsidRPr="00D26D31">
        <w:rPr>
          <w:rStyle w:val="ju-005fh-005fa-0020char--char"/>
          <w:lang w:val="fr-FR"/>
        </w:rPr>
        <w:t>utilisation des armes à feu par les responsables de l</w:t>
      </w:r>
      <w:r w:rsidR="00603708">
        <w:rPr>
          <w:rStyle w:val="ju-005fh-005fa-0020char--char"/>
          <w:lang w:val="fr-FR"/>
        </w:rPr>
        <w:t>’</w:t>
      </w:r>
      <w:r w:rsidR="00D26D31" w:rsidRPr="00D26D31">
        <w:rPr>
          <w:rStyle w:val="ju-005fh-005fa-0020char--char"/>
          <w:lang w:val="fr-FR"/>
        </w:rPr>
        <w:t>application des loi</w:t>
      </w:r>
      <w:r w:rsidR="00D26D31" w:rsidRPr="00D26D31">
        <w:rPr>
          <w:rStyle w:val="ju-005fh-005f1-002e-0020char--char"/>
          <w:lang w:val="fr-FR"/>
        </w:rPr>
        <w:t>s</w:t>
      </w:r>
    </w:p>
    <w:p w:rsidR="00D26D31" w:rsidRPr="00D26D31" w:rsidRDefault="00D26D31" w:rsidP="00D26D31">
      <w:pPr>
        <w:pStyle w:val="ECHRPara"/>
        <w:rPr>
          <w:lang w:val="fr-FR"/>
        </w:rPr>
      </w:pPr>
      <w:r>
        <w:fldChar w:fldCharType="begin"/>
      </w:r>
      <w:r w:rsidRPr="00D26D31">
        <w:rPr>
          <w:lang w:val="fr-FR"/>
        </w:rPr>
        <w:instrText xml:space="preserve"> SEQ level0 \*arabic </w:instrText>
      </w:r>
      <w:r>
        <w:fldChar w:fldCharType="separate"/>
      </w:r>
      <w:r w:rsidR="00B378F9">
        <w:rPr>
          <w:noProof/>
          <w:lang w:val="fr-FR"/>
        </w:rPr>
        <w:t>111</w:t>
      </w:r>
      <w:r>
        <w:fldChar w:fldCharType="end"/>
      </w:r>
      <w:r w:rsidRPr="00D26D31">
        <w:rPr>
          <w:lang w:val="fr-FR"/>
        </w:rPr>
        <w:t>.  Adoptés le 7 septembre 1990 par le huitième Congrès des Nations unies pour la prévention du crime et le traitement des délinquants, ces principes disposent, en leurs parties pertinentes</w:t>
      </w:r>
      <w:r w:rsidR="007F3F54">
        <w:rPr>
          <w:lang w:val="fr-FR"/>
        </w:rPr>
        <w:t xml:space="preserve"> en l</w:t>
      </w:r>
      <w:r w:rsidR="00603708">
        <w:rPr>
          <w:lang w:val="fr-FR"/>
        </w:rPr>
        <w:t>’</w:t>
      </w:r>
      <w:r w:rsidR="007F3F54">
        <w:rPr>
          <w:lang w:val="fr-FR"/>
        </w:rPr>
        <w:t>espèce</w:t>
      </w:r>
      <w:r w:rsidRPr="00D26D31">
        <w:rPr>
          <w:lang w:val="fr-FR"/>
        </w:rPr>
        <w:t> :</w:t>
      </w:r>
    </w:p>
    <w:p w:rsidR="0032468C" w:rsidRDefault="00D26D31" w:rsidP="00D26D31">
      <w:pPr>
        <w:pStyle w:val="ECHRParaQuote"/>
        <w:rPr>
          <w:lang w:val="fr-FR"/>
        </w:rPr>
      </w:pPr>
      <w:r w:rsidRPr="00D26D31">
        <w:rPr>
          <w:lang w:val="fr-FR"/>
        </w:rPr>
        <w:t>« (</w:t>
      </w:r>
      <w:r w:rsidR="0032468C">
        <w:rPr>
          <w:lang w:val="fr-FR"/>
        </w:rPr>
        <w:t>...</w:t>
      </w:r>
      <w:r w:rsidRPr="00D26D31">
        <w:rPr>
          <w:lang w:val="fr-FR"/>
        </w:rPr>
        <w:t>)</w:t>
      </w:r>
    </w:p>
    <w:p w:rsidR="0032468C" w:rsidRDefault="00D26D31" w:rsidP="00D26D31">
      <w:pPr>
        <w:pStyle w:val="ECHRParaQuote"/>
        <w:rPr>
          <w:lang w:val="fr-FR"/>
        </w:rPr>
      </w:pPr>
      <w:r w:rsidRPr="00D26D31">
        <w:rPr>
          <w:lang w:val="fr-FR"/>
        </w:rPr>
        <w:t>3.  La mise au point et l</w:t>
      </w:r>
      <w:r w:rsidR="00603708">
        <w:rPr>
          <w:lang w:val="fr-FR"/>
        </w:rPr>
        <w:t>’</w:t>
      </w:r>
      <w:r w:rsidRPr="00D26D31">
        <w:rPr>
          <w:lang w:val="fr-FR"/>
        </w:rPr>
        <w:t>utilisation d</w:t>
      </w:r>
      <w:r w:rsidR="00603708">
        <w:rPr>
          <w:lang w:val="fr-FR"/>
        </w:rPr>
        <w:t>’</w:t>
      </w:r>
      <w:r w:rsidRPr="00D26D31">
        <w:rPr>
          <w:lang w:val="fr-FR"/>
        </w:rPr>
        <w:t>armes non meurtrières neutralisantes devraient faire l</w:t>
      </w:r>
      <w:r w:rsidR="00603708">
        <w:rPr>
          <w:lang w:val="fr-FR"/>
        </w:rPr>
        <w:t>’</w:t>
      </w:r>
      <w:r w:rsidRPr="00D26D31">
        <w:rPr>
          <w:lang w:val="fr-FR"/>
        </w:rPr>
        <w:t>objet d</w:t>
      </w:r>
      <w:r w:rsidR="00603708">
        <w:rPr>
          <w:lang w:val="fr-FR"/>
        </w:rPr>
        <w:t>’</w:t>
      </w:r>
      <w:r w:rsidRPr="00D26D31">
        <w:rPr>
          <w:lang w:val="fr-FR"/>
        </w:rPr>
        <w:t>une évaluation attentive afin de réduire au minimum les risques à l</w:t>
      </w:r>
      <w:r w:rsidR="00603708">
        <w:rPr>
          <w:lang w:val="fr-FR"/>
        </w:rPr>
        <w:t>’</w:t>
      </w:r>
      <w:r w:rsidRPr="00D26D31">
        <w:rPr>
          <w:lang w:val="fr-FR"/>
        </w:rPr>
        <w:t>égard des tiers et l</w:t>
      </w:r>
      <w:r w:rsidR="00603708">
        <w:rPr>
          <w:lang w:val="fr-FR"/>
        </w:rPr>
        <w:t>’</w:t>
      </w:r>
      <w:r w:rsidRPr="00D26D31">
        <w:rPr>
          <w:lang w:val="fr-FR"/>
        </w:rPr>
        <w:t>utilisation de telles armes devrait être soumise à un contrôle strict.</w:t>
      </w:r>
    </w:p>
    <w:p w:rsidR="0032468C" w:rsidRDefault="00D26D31" w:rsidP="00D26D31">
      <w:pPr>
        <w:pStyle w:val="ECHRParaQuote"/>
        <w:rPr>
          <w:lang w:val="fr-FR"/>
        </w:rPr>
      </w:pPr>
      <w:r w:rsidRPr="00D26D31">
        <w:rPr>
          <w:lang w:val="fr-FR"/>
        </w:rPr>
        <w:t>4.  Les responsables de l</w:t>
      </w:r>
      <w:r w:rsidR="00603708">
        <w:rPr>
          <w:lang w:val="fr-FR"/>
        </w:rPr>
        <w:t>’</w:t>
      </w:r>
      <w:r w:rsidRPr="00D26D31">
        <w:rPr>
          <w:lang w:val="fr-FR"/>
        </w:rPr>
        <w:t>application des lois, dans l</w:t>
      </w:r>
      <w:r w:rsidR="00603708">
        <w:rPr>
          <w:lang w:val="fr-FR"/>
        </w:rPr>
        <w:t>’</w:t>
      </w:r>
      <w:r w:rsidRPr="00D26D31">
        <w:rPr>
          <w:lang w:val="fr-FR"/>
        </w:rPr>
        <w:t>accomplissement de leurs fonctions, auront recours autant que possible à des moyens non violents avant de faire usage de la force ou d</w:t>
      </w:r>
      <w:r w:rsidR="00603708">
        <w:rPr>
          <w:lang w:val="fr-FR"/>
        </w:rPr>
        <w:t>’</w:t>
      </w:r>
      <w:r w:rsidRPr="00D26D31">
        <w:rPr>
          <w:lang w:val="fr-FR"/>
        </w:rPr>
        <w:t>armes à feu. Ils ne peuvent faire usage de la force ou d</w:t>
      </w:r>
      <w:r w:rsidR="00603708">
        <w:rPr>
          <w:lang w:val="fr-FR"/>
        </w:rPr>
        <w:t>’</w:t>
      </w:r>
      <w:r w:rsidRPr="00D26D31">
        <w:rPr>
          <w:lang w:val="fr-FR"/>
        </w:rPr>
        <w:t>armes à feu que si les autres moyens restent sans effet ou ne permettent pas d</w:t>
      </w:r>
      <w:r w:rsidR="00603708">
        <w:rPr>
          <w:lang w:val="fr-FR"/>
        </w:rPr>
        <w:t>’</w:t>
      </w:r>
      <w:r w:rsidRPr="00D26D31">
        <w:rPr>
          <w:lang w:val="fr-FR"/>
        </w:rPr>
        <w:t>escompter le résultat désiré.</w:t>
      </w:r>
    </w:p>
    <w:p w:rsidR="0032468C" w:rsidRDefault="00D26D31" w:rsidP="00D26D31">
      <w:pPr>
        <w:pStyle w:val="ECHRParaQuote"/>
        <w:rPr>
          <w:lang w:val="fr-FR"/>
        </w:rPr>
      </w:pPr>
      <w:r w:rsidRPr="00D26D31">
        <w:rPr>
          <w:lang w:val="fr-FR"/>
        </w:rPr>
        <w:t>5.  Lorsque l</w:t>
      </w:r>
      <w:r w:rsidR="00603708">
        <w:rPr>
          <w:lang w:val="fr-FR"/>
        </w:rPr>
        <w:t>’</w:t>
      </w:r>
      <w:r w:rsidRPr="00D26D31">
        <w:rPr>
          <w:lang w:val="fr-FR"/>
        </w:rPr>
        <w:t>usage légitime de la force ou des armes à feu est inévitable, les responsables de l</w:t>
      </w:r>
      <w:r w:rsidR="00603708">
        <w:rPr>
          <w:lang w:val="fr-FR"/>
        </w:rPr>
        <w:t>’</w:t>
      </w:r>
      <w:r w:rsidRPr="00D26D31">
        <w:rPr>
          <w:lang w:val="fr-FR"/>
        </w:rPr>
        <w:t>application des lois :</w:t>
      </w:r>
    </w:p>
    <w:p w:rsidR="0032468C" w:rsidRDefault="00D26D31" w:rsidP="00D26D31">
      <w:pPr>
        <w:pStyle w:val="ECHRParaQuote"/>
        <w:rPr>
          <w:lang w:val="fr-FR"/>
        </w:rPr>
      </w:pPr>
      <w:r w:rsidRPr="00D26D31">
        <w:rPr>
          <w:lang w:val="fr-FR"/>
        </w:rPr>
        <w:t>a)  En useront avec modération et leur action sera proportionnelle à la gravité de l</w:t>
      </w:r>
      <w:r w:rsidR="00603708">
        <w:rPr>
          <w:lang w:val="fr-FR"/>
        </w:rPr>
        <w:t>’</w:t>
      </w:r>
      <w:r w:rsidRPr="00D26D31">
        <w:rPr>
          <w:lang w:val="fr-FR"/>
        </w:rPr>
        <w:t>infraction et à l</w:t>
      </w:r>
      <w:r w:rsidR="00603708">
        <w:rPr>
          <w:lang w:val="fr-FR"/>
        </w:rPr>
        <w:t>’</w:t>
      </w:r>
      <w:r w:rsidRPr="00D26D31">
        <w:rPr>
          <w:lang w:val="fr-FR"/>
        </w:rPr>
        <w:t>objectif légitime à atteindre ;</w:t>
      </w:r>
    </w:p>
    <w:p w:rsidR="0032468C" w:rsidRDefault="00D26D31" w:rsidP="00D26D31">
      <w:pPr>
        <w:pStyle w:val="ECHRParaQuote"/>
        <w:rPr>
          <w:lang w:val="fr-FR"/>
        </w:rPr>
      </w:pPr>
      <w:r w:rsidRPr="00D26D31">
        <w:rPr>
          <w:lang w:val="fr-FR"/>
        </w:rPr>
        <w:t>b)  S</w:t>
      </w:r>
      <w:r w:rsidR="00603708">
        <w:rPr>
          <w:lang w:val="fr-FR"/>
        </w:rPr>
        <w:t>’</w:t>
      </w:r>
      <w:r w:rsidRPr="00D26D31">
        <w:rPr>
          <w:lang w:val="fr-FR"/>
        </w:rPr>
        <w:t>efforceront de ne causer que le minimum de dommages et d</w:t>
      </w:r>
      <w:r w:rsidR="00603708">
        <w:rPr>
          <w:lang w:val="fr-FR"/>
        </w:rPr>
        <w:t>’</w:t>
      </w:r>
      <w:r w:rsidRPr="00D26D31">
        <w:rPr>
          <w:lang w:val="fr-FR"/>
        </w:rPr>
        <w:t>atteintes à l</w:t>
      </w:r>
      <w:r w:rsidR="00603708">
        <w:rPr>
          <w:lang w:val="fr-FR"/>
        </w:rPr>
        <w:t>’</w:t>
      </w:r>
      <w:r w:rsidRPr="00D26D31">
        <w:rPr>
          <w:lang w:val="fr-FR"/>
        </w:rPr>
        <w:t>intégrité physique et de respecter et de préserver la vie humaine ;</w:t>
      </w:r>
    </w:p>
    <w:p w:rsidR="0032468C" w:rsidRDefault="00D26D31" w:rsidP="00D26D31">
      <w:pPr>
        <w:pStyle w:val="ECHRParaQuote"/>
        <w:rPr>
          <w:lang w:val="fr-FR"/>
        </w:rPr>
      </w:pPr>
      <w:r w:rsidRPr="00D26D31">
        <w:rPr>
          <w:lang w:val="fr-FR"/>
        </w:rPr>
        <w:t>c)  Veilleront à ce qu</w:t>
      </w:r>
      <w:r w:rsidR="00603708">
        <w:rPr>
          <w:lang w:val="fr-FR"/>
        </w:rPr>
        <w:t>’</w:t>
      </w:r>
      <w:r w:rsidRPr="00D26D31">
        <w:rPr>
          <w:lang w:val="fr-FR"/>
        </w:rPr>
        <w:t>une assistance et des secours médicaux soient fournis aussi rapidement que possible à toute personne blessée ou autrement affectée;</w:t>
      </w:r>
    </w:p>
    <w:p w:rsidR="0032468C" w:rsidRDefault="00D26D31" w:rsidP="00D26D31">
      <w:pPr>
        <w:pStyle w:val="ECHRParaQuote"/>
        <w:rPr>
          <w:lang w:val="fr-FR"/>
        </w:rPr>
      </w:pPr>
      <w:r w:rsidRPr="00D26D31">
        <w:rPr>
          <w:lang w:val="fr-FR"/>
        </w:rPr>
        <w:t>d)  Veilleront à ce que la famille ou des proches de la personne blessée ou autrement affectée soient avertis le plus rapidement possible.</w:t>
      </w:r>
    </w:p>
    <w:p w:rsidR="00D26D31" w:rsidRPr="00D26D31" w:rsidRDefault="00D26D31" w:rsidP="00D26D31">
      <w:pPr>
        <w:pStyle w:val="ECHRParaQuote"/>
        <w:rPr>
          <w:lang w:val="fr-FR"/>
        </w:rPr>
      </w:pPr>
      <w:r w:rsidRPr="00D26D31">
        <w:rPr>
          <w:lang w:val="fr-FR"/>
        </w:rPr>
        <w:t>(</w:t>
      </w:r>
      <w:r w:rsidR="0032468C">
        <w:rPr>
          <w:lang w:val="fr-FR"/>
        </w:rPr>
        <w:t>...</w:t>
      </w:r>
      <w:r w:rsidRPr="00D26D31">
        <w:rPr>
          <w:lang w:val="fr-FR"/>
        </w:rPr>
        <w:t>)</w:t>
      </w:r>
    </w:p>
    <w:p w:rsidR="0032468C" w:rsidRDefault="00D26D31" w:rsidP="00D26D31">
      <w:pPr>
        <w:pStyle w:val="ECHRParaQuote"/>
        <w:rPr>
          <w:lang w:val="fr-FR"/>
        </w:rPr>
      </w:pPr>
      <w:r w:rsidRPr="00D26D31">
        <w:rPr>
          <w:lang w:val="fr-FR"/>
        </w:rPr>
        <w:t xml:space="preserve">7.  Les </w:t>
      </w:r>
      <w:r w:rsidR="005E0E94">
        <w:rPr>
          <w:lang w:val="fr-FR"/>
        </w:rPr>
        <w:t>Gouvernement</w:t>
      </w:r>
      <w:r w:rsidRPr="00D26D31">
        <w:rPr>
          <w:lang w:val="fr-FR"/>
        </w:rPr>
        <w:t>s feront en sorte que l</w:t>
      </w:r>
      <w:r w:rsidR="00603708">
        <w:rPr>
          <w:lang w:val="fr-FR"/>
        </w:rPr>
        <w:t>’</w:t>
      </w:r>
      <w:r w:rsidRPr="00D26D31">
        <w:rPr>
          <w:lang w:val="fr-FR"/>
        </w:rPr>
        <w:t>usage arbitraire ou abusif de la force ou des armes à feu par les responsables de l</w:t>
      </w:r>
      <w:r w:rsidR="00603708">
        <w:rPr>
          <w:lang w:val="fr-FR"/>
        </w:rPr>
        <w:t>’</w:t>
      </w:r>
      <w:r w:rsidRPr="00D26D31">
        <w:rPr>
          <w:lang w:val="fr-FR"/>
        </w:rPr>
        <w:t>application des lois soit puni comme une infraction pénale, en application de la législation nationale.</w:t>
      </w:r>
    </w:p>
    <w:p w:rsidR="0032468C" w:rsidRDefault="00D26D31" w:rsidP="00D26D31">
      <w:pPr>
        <w:pStyle w:val="ECHRParaQuote"/>
        <w:rPr>
          <w:lang w:val="fr-FR"/>
        </w:rPr>
      </w:pPr>
      <w:r w:rsidRPr="00D26D31">
        <w:rPr>
          <w:lang w:val="fr-FR"/>
        </w:rPr>
        <w:t>8.  Aucune circonstance exceptionnelle, comme l</w:t>
      </w:r>
      <w:r w:rsidR="00603708">
        <w:rPr>
          <w:lang w:val="fr-FR"/>
        </w:rPr>
        <w:t>’</w:t>
      </w:r>
      <w:r w:rsidRPr="00D26D31">
        <w:rPr>
          <w:lang w:val="fr-FR"/>
        </w:rPr>
        <w:t>instabilité de la situation politique intérieure ou un état d</w:t>
      </w:r>
      <w:r w:rsidR="00603708">
        <w:rPr>
          <w:lang w:val="fr-FR"/>
        </w:rPr>
        <w:t>’</w:t>
      </w:r>
      <w:r w:rsidRPr="00D26D31">
        <w:rPr>
          <w:lang w:val="fr-FR"/>
        </w:rPr>
        <w:t>urgence, ne peut être invoquée pour justifier une dérogation à ces Principes de base.</w:t>
      </w:r>
    </w:p>
    <w:p w:rsidR="00D26D31" w:rsidRPr="00D26D31" w:rsidRDefault="00D26D31" w:rsidP="00D26D31">
      <w:pPr>
        <w:pStyle w:val="ECHRParaQuote"/>
        <w:rPr>
          <w:lang w:val="fr-FR"/>
        </w:rPr>
      </w:pPr>
      <w:r w:rsidRPr="00D26D31">
        <w:rPr>
          <w:lang w:val="fr-FR"/>
        </w:rPr>
        <w:t>(</w:t>
      </w:r>
      <w:r w:rsidR="0032468C">
        <w:rPr>
          <w:lang w:val="fr-FR"/>
        </w:rPr>
        <w:t>...</w:t>
      </w:r>
      <w:r w:rsidRPr="00D26D31">
        <w:rPr>
          <w:lang w:val="fr-FR"/>
        </w:rPr>
        <w:t>)</w:t>
      </w:r>
    </w:p>
    <w:p w:rsidR="00304757" w:rsidRDefault="00D26D31" w:rsidP="00D26D31">
      <w:pPr>
        <w:pStyle w:val="ECHRParaQuote"/>
        <w:rPr>
          <w:lang w:val="fr-FR"/>
        </w:rPr>
      </w:pPr>
      <w:r w:rsidRPr="00D26D31">
        <w:rPr>
          <w:lang w:val="fr-FR"/>
        </w:rPr>
        <w:t>24.  Les pouvoirs publics et les autorités de police doivent faire en sorte que les supérieurs hiérarchiques soient tenus pour responsables si, sachant ou étant censés savoir que des agents chargés de l</w:t>
      </w:r>
      <w:r w:rsidR="00603708">
        <w:rPr>
          <w:lang w:val="fr-FR"/>
        </w:rPr>
        <w:t>’</w:t>
      </w:r>
      <w:r w:rsidRPr="00D26D31">
        <w:rPr>
          <w:lang w:val="fr-FR"/>
        </w:rPr>
        <w:t>application des lois placés sous leurs ordres ont ou ont eu recours à l</w:t>
      </w:r>
      <w:r w:rsidR="00603708">
        <w:rPr>
          <w:lang w:val="fr-FR"/>
        </w:rPr>
        <w:t>’</w:t>
      </w:r>
      <w:r w:rsidRPr="00D26D31">
        <w:rPr>
          <w:lang w:val="fr-FR"/>
        </w:rPr>
        <w:t>emploi illicite de la force ou des armes à feu, ils n</w:t>
      </w:r>
      <w:r w:rsidR="00603708">
        <w:rPr>
          <w:lang w:val="fr-FR"/>
        </w:rPr>
        <w:t>’</w:t>
      </w:r>
      <w:r w:rsidRPr="00D26D31">
        <w:rPr>
          <w:lang w:val="fr-FR"/>
        </w:rPr>
        <w:t>ont pas pris toutes les mesures en leur pouvoir pour empêcher, faire cesser ou signaler cet abus. »</w:t>
      </w:r>
    </w:p>
    <w:p w:rsidR="0032468C" w:rsidRDefault="00304757" w:rsidP="00304757">
      <w:pPr>
        <w:pStyle w:val="ECHRHeading2"/>
        <w:rPr>
          <w:lang w:val="fr-FR"/>
        </w:rPr>
      </w:pPr>
      <w:r w:rsidRPr="00D437D5">
        <w:rPr>
          <w:lang w:val="fr-FR"/>
        </w:rPr>
        <w:t>F.</w:t>
      </w:r>
      <w:r w:rsidR="007F3F54">
        <w:rPr>
          <w:lang w:val="fr-FR"/>
        </w:rPr>
        <w:t>  </w:t>
      </w:r>
      <w:r w:rsidR="00DD69F7" w:rsidRPr="00DD69F7">
        <w:rPr>
          <w:lang w:val="fr-FR"/>
        </w:rPr>
        <w:t xml:space="preserve">Observations du </w:t>
      </w:r>
      <w:r w:rsidR="00DD69F7" w:rsidRPr="008F7BFA">
        <w:rPr>
          <w:lang w:val="fr-FR"/>
        </w:rPr>
        <w:t>Comité des droits de l</w:t>
      </w:r>
      <w:r w:rsidR="00603708">
        <w:rPr>
          <w:lang w:val="fr-FR"/>
        </w:rPr>
        <w:t>’</w:t>
      </w:r>
      <w:r w:rsidR="00DD69F7" w:rsidRPr="008F7BFA">
        <w:rPr>
          <w:lang w:val="fr-FR"/>
        </w:rPr>
        <w:t>homme des Nations unies</w:t>
      </w:r>
    </w:p>
    <w:p w:rsidR="009F365A" w:rsidRPr="008F7BFA" w:rsidRDefault="00DD69F7" w:rsidP="009F365A">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112</w:t>
      </w:r>
      <w:r>
        <w:rPr>
          <w:lang w:val="fr-FR"/>
        </w:rPr>
        <w:fldChar w:fldCharType="end"/>
      </w:r>
      <w:r>
        <w:rPr>
          <w:lang w:val="fr-FR"/>
        </w:rPr>
        <w:t>.  </w:t>
      </w:r>
      <w:r w:rsidR="00210E00">
        <w:rPr>
          <w:lang w:val="fr-FR"/>
        </w:rPr>
        <w:t>Les O</w:t>
      </w:r>
      <w:r w:rsidR="00210E00" w:rsidRPr="00DD69F7">
        <w:rPr>
          <w:lang w:val="fr-FR"/>
        </w:rPr>
        <w:t xml:space="preserve">bservations finales du </w:t>
      </w:r>
      <w:r w:rsidR="00210E00" w:rsidRPr="008F7BFA">
        <w:rPr>
          <w:lang w:val="fr-FR"/>
        </w:rPr>
        <w:t>Comité des droits de l</w:t>
      </w:r>
      <w:r w:rsidR="00603708">
        <w:rPr>
          <w:lang w:val="fr-FR"/>
        </w:rPr>
        <w:t>’</w:t>
      </w:r>
      <w:r w:rsidR="00210E00" w:rsidRPr="008F7BFA">
        <w:rPr>
          <w:lang w:val="fr-FR"/>
        </w:rPr>
        <w:t>homme des Nations unies</w:t>
      </w:r>
      <w:r w:rsidR="007F3F54">
        <w:rPr>
          <w:lang w:val="fr-FR"/>
        </w:rPr>
        <w:t xml:space="preserve"> </w:t>
      </w:r>
      <w:r w:rsidR="00210E00">
        <w:rPr>
          <w:lang w:val="fr-FR"/>
        </w:rPr>
        <w:t xml:space="preserve">concernant </w:t>
      </w:r>
      <w:r w:rsidR="00210E00" w:rsidRPr="00DD69F7">
        <w:rPr>
          <w:lang w:val="fr-FR"/>
        </w:rPr>
        <w:t>l</w:t>
      </w:r>
      <w:r w:rsidR="00603708">
        <w:rPr>
          <w:lang w:val="fr-FR"/>
        </w:rPr>
        <w:t>’</w:t>
      </w:r>
      <w:r w:rsidR="00210E00">
        <w:rPr>
          <w:lang w:val="fr-FR"/>
        </w:rPr>
        <w:t xml:space="preserve">Italie, publiées </w:t>
      </w:r>
      <w:r w:rsidR="006417FA">
        <w:rPr>
          <w:lang w:val="fr-FR"/>
        </w:rPr>
        <w:t xml:space="preserve">le </w:t>
      </w:r>
      <w:r w:rsidR="00873562">
        <w:rPr>
          <w:lang w:val="fr-FR"/>
        </w:rPr>
        <w:t>18 août 1998</w:t>
      </w:r>
      <w:r w:rsidR="00210E00">
        <w:rPr>
          <w:lang w:val="fr-FR"/>
        </w:rPr>
        <w:t xml:space="preserve"> </w:t>
      </w:r>
      <w:r w:rsidR="00210E00" w:rsidRPr="00210E00">
        <w:rPr>
          <w:lang w:val="fr-FR"/>
        </w:rPr>
        <w:t>(UN</w:t>
      </w:r>
      <w:r w:rsidR="001B6263">
        <w:rPr>
          <w:lang w:val="fr-FR"/>
        </w:rPr>
        <w:t> </w:t>
      </w:r>
      <w:r w:rsidR="00210E00" w:rsidRPr="00210E00">
        <w:rPr>
          <w:lang w:val="fr-FR"/>
        </w:rPr>
        <w:t>Doc.</w:t>
      </w:r>
      <w:r w:rsidR="001B6263">
        <w:rPr>
          <w:lang w:val="fr-FR"/>
        </w:rPr>
        <w:t> </w:t>
      </w:r>
      <w:r w:rsidR="00210E00" w:rsidRPr="00210E00">
        <w:rPr>
          <w:lang w:val="fr-FR"/>
        </w:rPr>
        <w:t>CCPR/C/79/Add.94)</w:t>
      </w:r>
      <w:r w:rsidR="009F365A" w:rsidRPr="008F7BFA">
        <w:rPr>
          <w:lang w:val="fr-FR"/>
        </w:rPr>
        <w:t xml:space="preserve">, </w:t>
      </w:r>
      <w:r w:rsidR="00210E00">
        <w:rPr>
          <w:lang w:val="fr-FR"/>
        </w:rPr>
        <w:t xml:space="preserve">se lisent comme suit </w:t>
      </w:r>
      <w:r w:rsidR="00EE7FBC">
        <w:rPr>
          <w:lang w:val="fr-FR"/>
        </w:rPr>
        <w:t>en</w:t>
      </w:r>
      <w:r w:rsidR="00210E00">
        <w:rPr>
          <w:lang w:val="fr-FR"/>
        </w:rPr>
        <w:t xml:space="preserve"> leur</w:t>
      </w:r>
      <w:r w:rsidR="00EE7FBC">
        <w:rPr>
          <w:lang w:val="fr-FR"/>
        </w:rPr>
        <w:t>s</w:t>
      </w:r>
      <w:r w:rsidR="00210E00">
        <w:rPr>
          <w:lang w:val="fr-FR"/>
        </w:rPr>
        <w:t xml:space="preserve"> partie</w:t>
      </w:r>
      <w:r w:rsidR="00EE7FBC">
        <w:rPr>
          <w:lang w:val="fr-FR"/>
        </w:rPr>
        <w:t>s</w:t>
      </w:r>
      <w:r w:rsidR="00210E00">
        <w:rPr>
          <w:lang w:val="fr-FR"/>
        </w:rPr>
        <w:t xml:space="preserve"> pertinente</w:t>
      </w:r>
      <w:r w:rsidR="00EE7FBC">
        <w:rPr>
          <w:lang w:val="fr-FR"/>
        </w:rPr>
        <w:t>s</w:t>
      </w:r>
      <w:r w:rsidR="007F3F54">
        <w:rPr>
          <w:lang w:val="fr-FR"/>
        </w:rPr>
        <w:t xml:space="preserve"> en l</w:t>
      </w:r>
      <w:r w:rsidR="00603708">
        <w:rPr>
          <w:lang w:val="fr-FR"/>
        </w:rPr>
        <w:t>’</w:t>
      </w:r>
      <w:r w:rsidR="007F3F54">
        <w:rPr>
          <w:lang w:val="fr-FR"/>
        </w:rPr>
        <w:t>espèce</w:t>
      </w:r>
      <w:r w:rsidR="00210E00">
        <w:rPr>
          <w:lang w:val="fr-FR"/>
        </w:rPr>
        <w:t> :</w:t>
      </w:r>
    </w:p>
    <w:p w:rsidR="007F3F54" w:rsidRDefault="00210E00" w:rsidP="0079026A">
      <w:pPr>
        <w:pStyle w:val="ECHRParaQuote"/>
        <w:rPr>
          <w:lang w:val="fr-FR"/>
        </w:rPr>
      </w:pPr>
      <w:r>
        <w:rPr>
          <w:rFonts w:eastAsiaTheme="minorHAnsi"/>
          <w:lang w:val="fr-FR"/>
        </w:rPr>
        <w:t>« </w:t>
      </w:r>
      <w:r w:rsidRPr="00210E00">
        <w:rPr>
          <w:rFonts w:eastAsiaTheme="minorHAnsi"/>
          <w:lang w:val="fr-FR"/>
        </w:rPr>
        <w:t>13.</w:t>
      </w:r>
      <w:r w:rsidR="007F3F54">
        <w:rPr>
          <w:rFonts w:eastAsiaTheme="minorHAnsi"/>
          <w:lang w:val="fr-FR"/>
        </w:rPr>
        <w:t>  </w:t>
      </w:r>
      <w:r w:rsidRPr="00210E00">
        <w:rPr>
          <w:rFonts w:eastAsiaTheme="minorHAnsi"/>
          <w:lang w:val="fr-FR"/>
        </w:rPr>
        <w:t>Le Comité demeure préoccupé par l</w:t>
      </w:r>
      <w:r w:rsidR="00603708">
        <w:rPr>
          <w:rFonts w:eastAsiaTheme="minorHAnsi"/>
          <w:lang w:val="fr-FR"/>
        </w:rPr>
        <w:t>’</w:t>
      </w:r>
      <w:r w:rsidRPr="00210E00">
        <w:rPr>
          <w:rFonts w:eastAsiaTheme="minorHAnsi"/>
          <w:lang w:val="fr-FR"/>
        </w:rPr>
        <w:t>insuffisance des sanctions à</w:t>
      </w:r>
      <w:r>
        <w:rPr>
          <w:rFonts w:eastAsiaTheme="minorHAnsi"/>
          <w:lang w:val="fr-FR"/>
        </w:rPr>
        <w:t xml:space="preserve"> </w:t>
      </w:r>
      <w:r w:rsidRPr="00210E00">
        <w:rPr>
          <w:rFonts w:eastAsiaTheme="minorHAnsi"/>
          <w:lang w:val="fr-FR"/>
        </w:rPr>
        <w:t>l</w:t>
      </w:r>
      <w:r w:rsidR="00603708">
        <w:rPr>
          <w:rFonts w:eastAsiaTheme="minorHAnsi"/>
          <w:lang w:val="fr-FR"/>
        </w:rPr>
        <w:t>’</w:t>
      </w:r>
      <w:r w:rsidRPr="00210E00">
        <w:rPr>
          <w:rFonts w:eastAsiaTheme="minorHAnsi"/>
          <w:lang w:val="fr-FR"/>
        </w:rPr>
        <w:t>encontre des membres de la police et du personnel pénitentiaire qui abusent</w:t>
      </w:r>
      <w:r>
        <w:rPr>
          <w:rFonts w:eastAsiaTheme="minorHAnsi"/>
          <w:lang w:val="fr-FR"/>
        </w:rPr>
        <w:t xml:space="preserve"> </w:t>
      </w:r>
      <w:r w:rsidRPr="00210E00">
        <w:rPr>
          <w:rFonts w:eastAsiaTheme="minorHAnsi"/>
          <w:lang w:val="fr-FR"/>
        </w:rPr>
        <w:t>de leur pouvoir. Il recommande de suivre avec la vigilance requise le résultat</w:t>
      </w:r>
      <w:r>
        <w:rPr>
          <w:rFonts w:eastAsiaTheme="minorHAnsi"/>
          <w:lang w:val="fr-FR"/>
        </w:rPr>
        <w:t xml:space="preserve"> </w:t>
      </w:r>
      <w:r w:rsidRPr="00210E00">
        <w:rPr>
          <w:rFonts w:eastAsiaTheme="minorHAnsi"/>
          <w:lang w:val="fr-FR"/>
        </w:rPr>
        <w:t>des plaintes déposées contre des membres des Carabinieri et du personnel</w:t>
      </w:r>
      <w:r>
        <w:rPr>
          <w:rFonts w:eastAsiaTheme="minorHAnsi"/>
          <w:lang w:val="fr-FR"/>
        </w:rPr>
        <w:t xml:space="preserve"> </w:t>
      </w:r>
      <w:r w:rsidRPr="00210E00">
        <w:rPr>
          <w:rFonts w:eastAsiaTheme="minorHAnsi"/>
          <w:lang w:val="fr-FR"/>
        </w:rPr>
        <w:t>pénitentiaire.</w:t>
      </w:r>
    </w:p>
    <w:p w:rsidR="0079026A" w:rsidRDefault="007F3F54" w:rsidP="0079026A">
      <w:pPr>
        <w:pStyle w:val="ECHRParaQuote"/>
        <w:rPr>
          <w:lang w:val="fr-FR"/>
        </w:rPr>
      </w:pPr>
      <w:r>
        <w:rPr>
          <w:lang w:val="fr-FR"/>
        </w:rPr>
        <w:t>(</w:t>
      </w:r>
      <w:r w:rsidR="00A62736">
        <w:rPr>
          <w:lang w:val="fr-FR"/>
        </w:rPr>
        <w:t>...</w:t>
      </w:r>
      <w:r>
        <w:rPr>
          <w:lang w:val="fr-FR"/>
        </w:rPr>
        <w:t>)</w:t>
      </w:r>
    </w:p>
    <w:p w:rsidR="0079026A" w:rsidRPr="0079026A" w:rsidRDefault="0079026A" w:rsidP="0079026A">
      <w:pPr>
        <w:pStyle w:val="ECHRParaQuote"/>
        <w:rPr>
          <w:lang w:val="fr-FR"/>
        </w:rPr>
      </w:pPr>
      <w:r w:rsidRPr="0079026A">
        <w:rPr>
          <w:lang w:val="fr-FR"/>
        </w:rPr>
        <w:t>19.</w:t>
      </w:r>
      <w:r w:rsidR="007F3F54">
        <w:rPr>
          <w:lang w:val="fr-FR"/>
        </w:rPr>
        <w:t>  </w:t>
      </w:r>
      <w:r w:rsidRPr="0079026A">
        <w:rPr>
          <w:lang w:val="fr-FR"/>
        </w:rPr>
        <w:t>Le Comité note que des obstacles continuent de retarder l</w:t>
      </w:r>
      <w:r w:rsidR="00603708">
        <w:rPr>
          <w:lang w:val="fr-FR"/>
        </w:rPr>
        <w:t>’</w:t>
      </w:r>
      <w:r w:rsidRPr="0079026A">
        <w:rPr>
          <w:lang w:val="fr-FR"/>
        </w:rPr>
        <w:t>adoption des</w:t>
      </w:r>
      <w:r>
        <w:rPr>
          <w:lang w:val="fr-FR"/>
        </w:rPr>
        <w:t xml:space="preserve"> </w:t>
      </w:r>
      <w:r w:rsidRPr="0079026A">
        <w:rPr>
          <w:lang w:val="fr-FR"/>
        </w:rPr>
        <w:t>textes de lois suivants : incorporation dans le Code pénal du délit de torture</w:t>
      </w:r>
      <w:r>
        <w:rPr>
          <w:lang w:val="fr-FR"/>
        </w:rPr>
        <w:t xml:space="preserve"> </w:t>
      </w:r>
      <w:r w:rsidRPr="0079026A">
        <w:rPr>
          <w:lang w:val="fr-FR"/>
        </w:rPr>
        <w:t>au sens où il est défini en droit international</w:t>
      </w:r>
      <w:r>
        <w:rPr>
          <w:lang w:val="fr-FR"/>
        </w:rPr>
        <w:t xml:space="preserve"> (</w:t>
      </w:r>
      <w:r w:rsidRPr="00D26D31">
        <w:rPr>
          <w:lang w:val="fr-FR"/>
        </w:rPr>
        <w:t xml:space="preserve">article 7 </w:t>
      </w:r>
      <w:r>
        <w:rPr>
          <w:lang w:val="fr-FR"/>
        </w:rPr>
        <w:t>[</w:t>
      </w:r>
      <w:r w:rsidRPr="00D26D31">
        <w:rPr>
          <w:lang w:val="fr-FR"/>
        </w:rPr>
        <w:t>du Pacte international relatif aux droits civils et politiques</w:t>
      </w:r>
      <w:r>
        <w:rPr>
          <w:lang w:val="fr-FR"/>
        </w:rPr>
        <w:t>] (</w:t>
      </w:r>
      <w:r w:rsidR="0032468C">
        <w:rPr>
          <w:lang w:val="fr-FR"/>
        </w:rPr>
        <w:t>...</w:t>
      </w:r>
      <w:r>
        <w:rPr>
          <w:lang w:val="fr-FR"/>
        </w:rPr>
        <w:t>) »</w:t>
      </w:r>
    </w:p>
    <w:p w:rsidR="00A702E8" w:rsidRDefault="00DD69F7" w:rsidP="00304757">
      <w:pPr>
        <w:pStyle w:val="ECHRHeading2"/>
        <w:rPr>
          <w:lang w:val="fr-FR"/>
        </w:rPr>
      </w:pPr>
      <w:r>
        <w:rPr>
          <w:lang w:val="fr-FR"/>
        </w:rPr>
        <w:t>G.</w:t>
      </w:r>
      <w:r w:rsidR="007F3F54">
        <w:rPr>
          <w:lang w:val="fr-FR"/>
        </w:rPr>
        <w:t>  </w:t>
      </w:r>
      <w:r w:rsidR="004827E3">
        <w:rPr>
          <w:lang w:val="fr-FR"/>
        </w:rPr>
        <w:t xml:space="preserve">Actes du </w:t>
      </w:r>
      <w:r w:rsidR="004827E3" w:rsidRPr="008F7BFA">
        <w:rPr>
          <w:lang w:val="fr-FR"/>
        </w:rPr>
        <w:t>Comité des Nations unies contre la Torture</w:t>
      </w:r>
    </w:p>
    <w:p w:rsidR="00873562" w:rsidRPr="00873562" w:rsidRDefault="004827E3" w:rsidP="004827E3">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113</w:t>
      </w:r>
      <w:r>
        <w:rPr>
          <w:lang w:val="fr-FR"/>
        </w:rPr>
        <w:fldChar w:fldCharType="end"/>
      </w:r>
      <w:r>
        <w:rPr>
          <w:lang w:val="fr-FR"/>
        </w:rPr>
        <w:t>.  </w:t>
      </w:r>
      <w:r w:rsidR="008F2122">
        <w:rPr>
          <w:lang w:val="fr-FR"/>
        </w:rPr>
        <w:t>L</w:t>
      </w:r>
      <w:r w:rsidR="006417FA">
        <w:rPr>
          <w:lang w:val="fr-FR"/>
        </w:rPr>
        <w:t>es Observations conclusives</w:t>
      </w:r>
      <w:r w:rsidR="006417FA" w:rsidRPr="006417FA">
        <w:rPr>
          <w:lang w:val="fr-FR"/>
        </w:rPr>
        <w:t xml:space="preserve"> </w:t>
      </w:r>
      <w:r w:rsidR="006417FA">
        <w:rPr>
          <w:lang w:val="fr-FR"/>
        </w:rPr>
        <w:t>du Comité des Nations unies contre la torture</w:t>
      </w:r>
      <w:r w:rsidR="00873562">
        <w:rPr>
          <w:lang w:val="fr-FR"/>
        </w:rPr>
        <w:t xml:space="preserve"> </w:t>
      </w:r>
      <w:r w:rsidR="0038537C">
        <w:rPr>
          <w:lang w:val="fr-FR"/>
        </w:rPr>
        <w:t xml:space="preserve">(« CAT ») </w:t>
      </w:r>
      <w:r w:rsidR="006417FA">
        <w:rPr>
          <w:lang w:val="fr-FR"/>
        </w:rPr>
        <w:t xml:space="preserve">publiées le </w:t>
      </w:r>
      <w:r w:rsidR="00873562">
        <w:rPr>
          <w:lang w:val="fr-FR"/>
        </w:rPr>
        <w:t>1</w:t>
      </w:r>
      <w:r w:rsidR="00873562" w:rsidRPr="00873562">
        <w:rPr>
          <w:vertAlign w:val="superscript"/>
          <w:lang w:val="fr-FR"/>
        </w:rPr>
        <w:t>er</w:t>
      </w:r>
      <w:r w:rsidR="00873562">
        <w:rPr>
          <w:lang w:val="fr-FR"/>
        </w:rPr>
        <w:t xml:space="preserve"> janvier 1995 </w:t>
      </w:r>
      <w:r w:rsidR="006417FA">
        <w:rPr>
          <w:lang w:val="fr-FR"/>
        </w:rPr>
        <w:t>(</w:t>
      </w:r>
      <w:r w:rsidR="006417FA" w:rsidRPr="008F7BFA">
        <w:rPr>
          <w:lang w:val="fr-FR"/>
        </w:rPr>
        <w:t xml:space="preserve">UN Doc. </w:t>
      </w:r>
      <w:r w:rsidR="006417FA" w:rsidRPr="00873562">
        <w:rPr>
          <w:lang w:val="fr-FR"/>
        </w:rPr>
        <w:t>A/50/44(SUPP))</w:t>
      </w:r>
      <w:r w:rsidR="00873562" w:rsidRPr="00873562">
        <w:rPr>
          <w:lang w:val="fr-FR"/>
        </w:rPr>
        <w:t xml:space="preserve">, se lisent ainsi </w:t>
      </w:r>
      <w:r w:rsidR="008F2122">
        <w:rPr>
          <w:lang w:val="fr-FR"/>
        </w:rPr>
        <w:t>en ce qui concerne l</w:t>
      </w:r>
      <w:r w:rsidR="00603708">
        <w:rPr>
          <w:lang w:val="fr-FR"/>
        </w:rPr>
        <w:t>’</w:t>
      </w:r>
      <w:r w:rsidR="007F3F54">
        <w:rPr>
          <w:lang w:val="fr-FR"/>
        </w:rPr>
        <w:t>Italie :</w:t>
      </w:r>
    </w:p>
    <w:p w:rsidR="00873562" w:rsidRDefault="00873562" w:rsidP="00873562">
      <w:pPr>
        <w:pStyle w:val="ECHRParaQuote"/>
        <w:rPr>
          <w:lang w:val="fr-FR"/>
        </w:rPr>
      </w:pPr>
      <w:r>
        <w:rPr>
          <w:lang w:val="fr-FR"/>
        </w:rPr>
        <w:t>« </w:t>
      </w:r>
      <w:r w:rsidRPr="00873562">
        <w:rPr>
          <w:lang w:val="fr-FR"/>
        </w:rPr>
        <w:t>157.</w:t>
      </w:r>
      <w:r w:rsidR="007F3F54">
        <w:rPr>
          <w:lang w:val="fr-FR"/>
        </w:rPr>
        <w:t>  </w:t>
      </w:r>
      <w:r w:rsidRPr="00873562">
        <w:rPr>
          <w:lang w:val="fr-FR"/>
        </w:rPr>
        <w:t>Le Comité recommande ce qui suit à l</w:t>
      </w:r>
      <w:r w:rsidR="00603708">
        <w:rPr>
          <w:lang w:val="fr-FR"/>
        </w:rPr>
        <w:t>’</w:t>
      </w:r>
      <w:r w:rsidRPr="00873562">
        <w:rPr>
          <w:lang w:val="fr-FR"/>
        </w:rPr>
        <w:t>État partie</w:t>
      </w:r>
      <w:r w:rsidR="007F3F54">
        <w:rPr>
          <w:lang w:val="fr-FR"/>
        </w:rPr>
        <w:t> :</w:t>
      </w:r>
    </w:p>
    <w:p w:rsidR="0032468C" w:rsidRDefault="00873562" w:rsidP="00873562">
      <w:pPr>
        <w:pStyle w:val="ECHRParaQuote"/>
        <w:rPr>
          <w:lang w:val="fr-FR"/>
        </w:rPr>
      </w:pPr>
      <w:r>
        <w:rPr>
          <w:lang w:val="fr-FR"/>
        </w:rPr>
        <w:t>(</w:t>
      </w:r>
      <w:r w:rsidR="0032468C">
        <w:rPr>
          <w:lang w:val="fr-FR"/>
        </w:rPr>
        <w:t>...</w:t>
      </w:r>
      <w:r>
        <w:rPr>
          <w:lang w:val="fr-FR"/>
        </w:rPr>
        <w:t>)</w:t>
      </w:r>
    </w:p>
    <w:p w:rsidR="008F2122" w:rsidRDefault="00873562" w:rsidP="00873562">
      <w:pPr>
        <w:pStyle w:val="ECHRParaQuote"/>
        <w:rPr>
          <w:lang w:val="fr-FR"/>
        </w:rPr>
      </w:pPr>
      <w:r w:rsidRPr="00873562">
        <w:rPr>
          <w:lang w:val="fr-FR"/>
        </w:rPr>
        <w:t>d)</w:t>
      </w:r>
      <w:r w:rsidR="007F3F54">
        <w:rPr>
          <w:lang w:val="fr-FR"/>
        </w:rPr>
        <w:t>  </w:t>
      </w:r>
      <w:r w:rsidRPr="00873562">
        <w:rPr>
          <w:lang w:val="fr-FR"/>
        </w:rPr>
        <w:t>Vérifier que les plaintes faisant état de mauvais traitements et</w:t>
      </w:r>
      <w:r>
        <w:rPr>
          <w:lang w:val="fr-FR"/>
        </w:rPr>
        <w:t xml:space="preserve"> </w:t>
      </w:r>
      <w:r w:rsidRPr="00873562">
        <w:rPr>
          <w:lang w:val="fr-FR"/>
        </w:rPr>
        <w:t>d</w:t>
      </w:r>
      <w:r w:rsidR="00603708">
        <w:rPr>
          <w:lang w:val="fr-FR"/>
        </w:rPr>
        <w:t>’</w:t>
      </w:r>
      <w:r w:rsidRPr="00873562">
        <w:rPr>
          <w:lang w:val="fr-FR"/>
        </w:rPr>
        <w:t>actes de torture soient promptement l</w:t>
      </w:r>
      <w:r w:rsidR="00603708">
        <w:rPr>
          <w:lang w:val="fr-FR"/>
        </w:rPr>
        <w:t>’</w:t>
      </w:r>
      <w:r w:rsidRPr="00873562">
        <w:rPr>
          <w:lang w:val="fr-FR"/>
        </w:rPr>
        <w:t>objet d</w:t>
      </w:r>
      <w:r w:rsidR="00603708">
        <w:rPr>
          <w:lang w:val="fr-FR"/>
        </w:rPr>
        <w:t>’</w:t>
      </w:r>
      <w:r w:rsidRPr="00873562">
        <w:rPr>
          <w:lang w:val="fr-FR"/>
        </w:rPr>
        <w:t>une enquête efficace, et imposer</w:t>
      </w:r>
      <w:r>
        <w:rPr>
          <w:lang w:val="fr-FR"/>
        </w:rPr>
        <w:t xml:space="preserve"> </w:t>
      </w:r>
      <w:r w:rsidRPr="00873562">
        <w:rPr>
          <w:lang w:val="fr-FR"/>
        </w:rPr>
        <w:t>aux responsables éventuels une peine appropriée, qui sera effectivement</w:t>
      </w:r>
      <w:r>
        <w:rPr>
          <w:lang w:val="fr-FR"/>
        </w:rPr>
        <w:t xml:space="preserve"> </w:t>
      </w:r>
      <w:r w:rsidRPr="00873562">
        <w:rPr>
          <w:lang w:val="fr-FR"/>
        </w:rPr>
        <w:t>exécutée</w:t>
      </w:r>
      <w:r>
        <w:rPr>
          <w:lang w:val="fr-FR"/>
        </w:rPr>
        <w:t xml:space="preserve"> (</w:t>
      </w:r>
      <w:r w:rsidR="0032468C">
        <w:rPr>
          <w:lang w:val="fr-FR"/>
        </w:rPr>
        <w:t>...</w:t>
      </w:r>
      <w:r>
        <w:rPr>
          <w:lang w:val="fr-FR"/>
        </w:rPr>
        <w:t>).</w:t>
      </w:r>
      <w:r w:rsidR="007F3F54">
        <w:rPr>
          <w:lang w:val="fr-FR"/>
        </w:rPr>
        <w:t> </w:t>
      </w:r>
      <w:r>
        <w:rPr>
          <w:lang w:val="fr-FR"/>
        </w:rPr>
        <w:t>»</w:t>
      </w:r>
    </w:p>
    <w:p w:rsidR="008F2122" w:rsidRDefault="008F2122" w:rsidP="008F2122">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114</w:t>
      </w:r>
      <w:r>
        <w:rPr>
          <w:lang w:val="fr-FR"/>
        </w:rPr>
        <w:fldChar w:fldCharType="end"/>
      </w:r>
      <w:r>
        <w:rPr>
          <w:lang w:val="fr-FR"/>
        </w:rPr>
        <w:t>.  </w:t>
      </w:r>
      <w:r w:rsidR="006F2A74">
        <w:rPr>
          <w:lang w:val="fr-FR"/>
        </w:rPr>
        <w:t>Les Observations conclusives</w:t>
      </w:r>
      <w:r w:rsidR="006F2A74" w:rsidRPr="006417FA">
        <w:rPr>
          <w:lang w:val="fr-FR"/>
        </w:rPr>
        <w:t xml:space="preserve"> </w:t>
      </w:r>
      <w:r w:rsidR="006F2A74">
        <w:rPr>
          <w:lang w:val="fr-FR"/>
        </w:rPr>
        <w:t xml:space="preserve">du </w:t>
      </w:r>
      <w:r w:rsidR="0038537C">
        <w:rPr>
          <w:lang w:val="fr-FR"/>
        </w:rPr>
        <w:t xml:space="preserve">CAT </w:t>
      </w:r>
      <w:r w:rsidR="006F2A74">
        <w:rPr>
          <w:lang w:val="fr-FR"/>
        </w:rPr>
        <w:t>publiées le 1</w:t>
      </w:r>
      <w:r w:rsidR="006F2A74" w:rsidRPr="006F2A74">
        <w:rPr>
          <w:vertAlign w:val="superscript"/>
          <w:lang w:val="fr-FR"/>
        </w:rPr>
        <w:t>er</w:t>
      </w:r>
      <w:r w:rsidR="006F2A74">
        <w:rPr>
          <w:lang w:val="fr-FR"/>
        </w:rPr>
        <w:t xml:space="preserve"> janvier 1999 (</w:t>
      </w:r>
      <w:r w:rsidR="006F2A74" w:rsidRPr="006F2A74">
        <w:rPr>
          <w:lang w:val="fr-FR"/>
        </w:rPr>
        <w:t>A/54/44(SUPP)</w:t>
      </w:r>
      <w:r w:rsidR="006F2A74" w:rsidRPr="00873562">
        <w:rPr>
          <w:lang w:val="fr-FR"/>
        </w:rPr>
        <w:t xml:space="preserve">), se lisent ainsi </w:t>
      </w:r>
      <w:r w:rsidR="006F2A74">
        <w:rPr>
          <w:lang w:val="fr-FR"/>
        </w:rPr>
        <w:t>en ce qui concerne l</w:t>
      </w:r>
      <w:r w:rsidR="00603708">
        <w:rPr>
          <w:lang w:val="fr-FR"/>
        </w:rPr>
        <w:t>’</w:t>
      </w:r>
      <w:r w:rsidR="006F2A74">
        <w:rPr>
          <w:lang w:val="fr-FR"/>
        </w:rPr>
        <w:t xml:space="preserve">Italie </w:t>
      </w:r>
      <w:r w:rsidR="006F2A74" w:rsidRPr="00873562">
        <w:rPr>
          <w:lang w:val="fr-FR"/>
        </w:rPr>
        <w:t>:</w:t>
      </w:r>
    </w:p>
    <w:p w:rsidR="006F2A74" w:rsidRPr="006F2A74" w:rsidRDefault="006F2A74" w:rsidP="006F2A74">
      <w:pPr>
        <w:pStyle w:val="ECHRParaQuote"/>
        <w:rPr>
          <w:lang w:val="fr-FR"/>
        </w:rPr>
      </w:pPr>
      <w:r>
        <w:rPr>
          <w:lang w:val="fr-FR"/>
        </w:rPr>
        <w:t>« </w:t>
      </w:r>
      <w:r w:rsidRPr="006F2A74">
        <w:rPr>
          <w:lang w:val="fr-FR"/>
        </w:rPr>
        <w:t>141.</w:t>
      </w:r>
      <w:r w:rsidR="007F3F54">
        <w:rPr>
          <w:lang w:val="fr-FR"/>
        </w:rPr>
        <w:t>  </w:t>
      </w:r>
      <w:r w:rsidRPr="006F2A74">
        <w:rPr>
          <w:lang w:val="fr-FR"/>
        </w:rPr>
        <w:t>Le Comité note avec satisfaction :</w:t>
      </w:r>
    </w:p>
    <w:p w:rsidR="007F3F54" w:rsidRDefault="006F2A74" w:rsidP="006F2A74">
      <w:pPr>
        <w:pStyle w:val="ECHRParaQuote"/>
        <w:rPr>
          <w:lang w:val="fr-FR"/>
        </w:rPr>
      </w:pPr>
      <w:r w:rsidRPr="006F2A74">
        <w:rPr>
          <w:lang w:val="fr-FR"/>
        </w:rPr>
        <w:t>a)</w:t>
      </w:r>
      <w:r w:rsidR="007F3F54">
        <w:rPr>
          <w:lang w:val="fr-FR"/>
        </w:rPr>
        <w:t>  </w:t>
      </w:r>
      <w:r w:rsidRPr="006F2A74">
        <w:rPr>
          <w:lang w:val="fr-FR"/>
        </w:rPr>
        <w:t>Que l</w:t>
      </w:r>
      <w:r w:rsidR="00603708">
        <w:rPr>
          <w:lang w:val="fr-FR"/>
        </w:rPr>
        <w:t>’</w:t>
      </w:r>
      <w:r w:rsidRPr="006F2A74">
        <w:rPr>
          <w:lang w:val="fr-FR"/>
        </w:rPr>
        <w:t>introduction dans le droit interne d</w:t>
      </w:r>
      <w:r w:rsidR="00603708">
        <w:rPr>
          <w:lang w:val="fr-FR"/>
        </w:rPr>
        <w:t>’</w:t>
      </w:r>
      <w:r w:rsidRPr="006F2A74">
        <w:rPr>
          <w:lang w:val="fr-FR"/>
        </w:rPr>
        <w:t>une</w:t>
      </w:r>
      <w:r>
        <w:rPr>
          <w:lang w:val="fr-FR"/>
        </w:rPr>
        <w:t xml:space="preserve"> </w:t>
      </w:r>
      <w:r w:rsidRPr="006F2A74">
        <w:rPr>
          <w:lang w:val="fr-FR"/>
        </w:rPr>
        <w:t>caractérisation du crime de torture est à l</w:t>
      </w:r>
      <w:r w:rsidR="00603708">
        <w:rPr>
          <w:lang w:val="fr-FR"/>
        </w:rPr>
        <w:t>’</w:t>
      </w:r>
      <w:r w:rsidRPr="006F2A74">
        <w:rPr>
          <w:lang w:val="fr-FR"/>
        </w:rPr>
        <w:t>étude, de même</w:t>
      </w:r>
      <w:r>
        <w:rPr>
          <w:lang w:val="fr-FR"/>
        </w:rPr>
        <w:t xml:space="preserve"> </w:t>
      </w:r>
      <w:r w:rsidRPr="006F2A74">
        <w:rPr>
          <w:lang w:val="fr-FR"/>
        </w:rPr>
        <w:t>que l</w:t>
      </w:r>
      <w:r w:rsidR="00603708">
        <w:rPr>
          <w:lang w:val="fr-FR"/>
        </w:rPr>
        <w:t>’</w:t>
      </w:r>
      <w:r w:rsidRPr="006F2A74">
        <w:rPr>
          <w:lang w:val="fr-FR"/>
        </w:rPr>
        <w:t>existence d</w:t>
      </w:r>
      <w:r w:rsidR="00603708">
        <w:rPr>
          <w:lang w:val="fr-FR"/>
        </w:rPr>
        <w:t>’</w:t>
      </w:r>
      <w:r w:rsidRPr="006F2A74">
        <w:rPr>
          <w:lang w:val="fr-FR"/>
        </w:rPr>
        <w:t>un fonds spé</w:t>
      </w:r>
      <w:r>
        <w:rPr>
          <w:lang w:val="fr-FR"/>
        </w:rPr>
        <w:t>cial à l</w:t>
      </w:r>
      <w:r w:rsidR="00603708">
        <w:rPr>
          <w:lang w:val="fr-FR"/>
        </w:rPr>
        <w:t>’</w:t>
      </w:r>
      <w:r>
        <w:rPr>
          <w:lang w:val="fr-FR"/>
        </w:rPr>
        <w:t>intention des victimes d</w:t>
      </w:r>
      <w:r w:rsidR="00603708">
        <w:rPr>
          <w:lang w:val="fr-FR"/>
        </w:rPr>
        <w:t>’</w:t>
      </w:r>
      <w:r>
        <w:rPr>
          <w:lang w:val="fr-FR"/>
        </w:rPr>
        <w:t>actes de cette nature (</w:t>
      </w:r>
      <w:r w:rsidR="0032468C">
        <w:rPr>
          <w:lang w:val="fr-FR"/>
        </w:rPr>
        <w:t>...</w:t>
      </w:r>
      <w:r>
        <w:rPr>
          <w:lang w:val="fr-FR"/>
        </w:rPr>
        <w:t>).</w:t>
      </w:r>
    </w:p>
    <w:p w:rsidR="006F2A74" w:rsidRDefault="007F3F54" w:rsidP="006F2A74">
      <w:pPr>
        <w:pStyle w:val="ECHRParaQuote"/>
        <w:rPr>
          <w:lang w:val="fr-FR"/>
        </w:rPr>
      </w:pPr>
      <w:r>
        <w:rPr>
          <w:lang w:val="fr-FR"/>
        </w:rPr>
        <w:t>(</w:t>
      </w:r>
      <w:r w:rsidR="00A62736">
        <w:rPr>
          <w:lang w:val="fr-FR"/>
        </w:rPr>
        <w:t>...</w:t>
      </w:r>
      <w:r>
        <w:rPr>
          <w:lang w:val="fr-FR"/>
        </w:rPr>
        <w:t>)</w:t>
      </w:r>
    </w:p>
    <w:p w:rsidR="006F2A74" w:rsidRPr="006F2A74" w:rsidRDefault="006F2A74" w:rsidP="006F2A74">
      <w:pPr>
        <w:pStyle w:val="ECHRParaQuote"/>
        <w:rPr>
          <w:lang w:val="fr-FR"/>
        </w:rPr>
      </w:pPr>
      <w:r>
        <w:rPr>
          <w:lang w:val="fr-FR"/>
        </w:rPr>
        <w:t xml:space="preserve">145. </w:t>
      </w:r>
      <w:r w:rsidRPr="006F2A74">
        <w:rPr>
          <w:lang w:val="fr-FR"/>
        </w:rPr>
        <w:t>Le Comité recommande :</w:t>
      </w:r>
    </w:p>
    <w:p w:rsidR="006F2A74" w:rsidRDefault="006F2A74" w:rsidP="006F2A74">
      <w:pPr>
        <w:pStyle w:val="ECHRParaQuote"/>
        <w:rPr>
          <w:lang w:val="fr-FR"/>
        </w:rPr>
      </w:pPr>
      <w:r w:rsidRPr="006F2A74">
        <w:rPr>
          <w:lang w:val="fr-FR"/>
        </w:rPr>
        <w:t>a)</w:t>
      </w:r>
      <w:r w:rsidR="007F3F54">
        <w:rPr>
          <w:lang w:val="fr-FR"/>
        </w:rPr>
        <w:t>  </w:t>
      </w:r>
      <w:r w:rsidRPr="006F2A74">
        <w:rPr>
          <w:lang w:val="fr-FR"/>
        </w:rPr>
        <w:t>Que le législate</w:t>
      </w:r>
      <w:r>
        <w:rPr>
          <w:lang w:val="fr-FR"/>
        </w:rPr>
        <w:t xml:space="preserve">ur italien qualifie de crime au </w:t>
      </w:r>
      <w:r w:rsidRPr="006F2A74">
        <w:rPr>
          <w:lang w:val="fr-FR"/>
        </w:rPr>
        <w:t>regard du droit interne tout</w:t>
      </w:r>
      <w:r>
        <w:rPr>
          <w:lang w:val="fr-FR"/>
        </w:rPr>
        <w:t xml:space="preserve"> acte répondant à la définition </w:t>
      </w:r>
      <w:r w:rsidRPr="006F2A74">
        <w:rPr>
          <w:lang w:val="fr-FR"/>
        </w:rPr>
        <w:t>de la torture donnée à l</w:t>
      </w:r>
      <w:r w:rsidR="00603708">
        <w:rPr>
          <w:lang w:val="fr-FR"/>
        </w:rPr>
        <w:t>’</w:t>
      </w:r>
      <w:r w:rsidRPr="006F2A74">
        <w:rPr>
          <w:lang w:val="fr-FR"/>
        </w:rPr>
        <w:t>ar</w:t>
      </w:r>
      <w:r>
        <w:rPr>
          <w:lang w:val="fr-FR"/>
        </w:rPr>
        <w:t xml:space="preserve">ticle premier de la Convention, </w:t>
      </w:r>
      <w:r w:rsidRPr="006F2A74">
        <w:rPr>
          <w:lang w:val="fr-FR"/>
        </w:rPr>
        <w:t>et qu</w:t>
      </w:r>
      <w:r w:rsidR="00603708">
        <w:rPr>
          <w:lang w:val="fr-FR"/>
        </w:rPr>
        <w:t>’</w:t>
      </w:r>
      <w:r w:rsidRPr="006F2A74">
        <w:rPr>
          <w:lang w:val="fr-FR"/>
        </w:rPr>
        <w:t>il prenne les disposit</w:t>
      </w:r>
      <w:r>
        <w:rPr>
          <w:lang w:val="fr-FR"/>
        </w:rPr>
        <w:t xml:space="preserve">ions voulues pour instituer des </w:t>
      </w:r>
      <w:r w:rsidRPr="006F2A74">
        <w:rPr>
          <w:lang w:val="fr-FR"/>
        </w:rPr>
        <w:t>moyens de réparation app</w:t>
      </w:r>
      <w:r>
        <w:rPr>
          <w:lang w:val="fr-FR"/>
        </w:rPr>
        <w:t xml:space="preserve">ropriés pour les victimes de la </w:t>
      </w:r>
      <w:r w:rsidRPr="006F2A74">
        <w:rPr>
          <w:lang w:val="fr-FR"/>
        </w:rPr>
        <w:t>torture</w:t>
      </w:r>
      <w:r>
        <w:rPr>
          <w:lang w:val="fr-FR"/>
        </w:rPr>
        <w:t xml:space="preserve"> (</w:t>
      </w:r>
      <w:r w:rsidR="0032468C">
        <w:rPr>
          <w:lang w:val="fr-FR"/>
        </w:rPr>
        <w:t>...</w:t>
      </w:r>
      <w:r>
        <w:rPr>
          <w:lang w:val="fr-FR"/>
        </w:rPr>
        <w:t>) »</w:t>
      </w:r>
    </w:p>
    <w:p w:rsidR="00873562" w:rsidRDefault="008F2122" w:rsidP="008F2122">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115</w:t>
      </w:r>
      <w:r>
        <w:rPr>
          <w:lang w:val="fr-FR"/>
        </w:rPr>
        <w:fldChar w:fldCharType="end"/>
      </w:r>
      <w:r>
        <w:rPr>
          <w:lang w:val="fr-FR"/>
        </w:rPr>
        <w:t xml:space="preserve">.  Les </w:t>
      </w:r>
      <w:r w:rsidRPr="008F2122">
        <w:rPr>
          <w:lang w:val="fr-FR"/>
        </w:rPr>
        <w:t xml:space="preserve">Conclusions et recommandations </w:t>
      </w:r>
      <w:r>
        <w:rPr>
          <w:lang w:val="fr-FR"/>
        </w:rPr>
        <w:t xml:space="preserve">du </w:t>
      </w:r>
      <w:r w:rsidR="0038537C">
        <w:rPr>
          <w:lang w:val="fr-FR"/>
        </w:rPr>
        <w:t>CAT</w:t>
      </w:r>
      <w:r>
        <w:rPr>
          <w:lang w:val="fr-FR"/>
        </w:rPr>
        <w:t xml:space="preserve"> concernant l</w:t>
      </w:r>
      <w:r w:rsidR="00603708">
        <w:rPr>
          <w:lang w:val="fr-FR"/>
        </w:rPr>
        <w:t>’</w:t>
      </w:r>
      <w:r>
        <w:rPr>
          <w:lang w:val="fr-FR"/>
        </w:rPr>
        <w:t>Italie, publiées le 16 juillet 2007 (UN Doc. CAT/C/ITA/CO/4), se lisent ainsi :</w:t>
      </w:r>
    </w:p>
    <w:p w:rsidR="008F2122" w:rsidRPr="008F2122" w:rsidRDefault="008F2122" w:rsidP="008F2122">
      <w:pPr>
        <w:pStyle w:val="ECHRParaQuote"/>
        <w:rPr>
          <w:lang w:val="fr-FR"/>
        </w:rPr>
      </w:pPr>
      <w:r>
        <w:rPr>
          <w:lang w:val="fr-FR"/>
        </w:rPr>
        <w:t>« 5.</w:t>
      </w:r>
      <w:r w:rsidR="007F3F54">
        <w:rPr>
          <w:lang w:val="fr-FR"/>
        </w:rPr>
        <w:t>  </w:t>
      </w:r>
      <w:r>
        <w:rPr>
          <w:lang w:val="fr-FR"/>
        </w:rPr>
        <w:t>Bien que l</w:t>
      </w:r>
      <w:r w:rsidR="00603708">
        <w:rPr>
          <w:lang w:val="fr-FR"/>
        </w:rPr>
        <w:t>’</w:t>
      </w:r>
      <w:r>
        <w:rPr>
          <w:lang w:val="fr-FR"/>
        </w:rPr>
        <w:t>État partie affirme que tous les actes pouvant être qualifiés de «torture» au sens de l</w:t>
      </w:r>
      <w:r w:rsidR="00603708">
        <w:rPr>
          <w:lang w:val="fr-FR"/>
        </w:rPr>
        <w:t>’</w:t>
      </w:r>
      <w:r>
        <w:rPr>
          <w:lang w:val="fr-FR"/>
        </w:rPr>
        <w:t xml:space="preserve">article premier de la Convention sont punissables en vertu du Code pénal italien et tout en prenant note du projet de loi (proposition de loi sénatoriale </w:t>
      </w:r>
      <w:r>
        <w:rPr>
          <w:rFonts w:eastAsia="MS Mincho"/>
          <w:lang w:val="fr-FR"/>
        </w:rPr>
        <w:t>n</w:t>
      </w:r>
      <w:r>
        <w:rPr>
          <w:rFonts w:eastAsia="MS Mincho"/>
          <w:vertAlign w:val="superscript"/>
          <w:lang w:val="fr-FR"/>
        </w:rPr>
        <w:t>o</w:t>
      </w:r>
      <w:r>
        <w:rPr>
          <w:lang w:val="fr-FR"/>
        </w:rPr>
        <w:t> 1216) qui a été approuvé par la Chambre des députés et est actuellement en attende d</w:t>
      </w:r>
      <w:r w:rsidR="00603708">
        <w:rPr>
          <w:lang w:val="fr-FR"/>
        </w:rPr>
        <w:t>’</w:t>
      </w:r>
      <w:r>
        <w:rPr>
          <w:lang w:val="fr-FR"/>
        </w:rPr>
        <w:t>examen par le Sénat, le Comité demeure préoccupé par le fait que l</w:t>
      </w:r>
      <w:r w:rsidR="00603708">
        <w:rPr>
          <w:lang w:val="fr-FR"/>
        </w:rPr>
        <w:t>’</w:t>
      </w:r>
      <w:r>
        <w:rPr>
          <w:lang w:val="fr-FR"/>
        </w:rPr>
        <w:t>État partie n</w:t>
      </w:r>
      <w:r w:rsidR="00603708">
        <w:rPr>
          <w:lang w:val="fr-FR"/>
        </w:rPr>
        <w:t>’</w:t>
      </w:r>
      <w:r>
        <w:rPr>
          <w:lang w:val="fr-FR"/>
        </w:rPr>
        <w:t>a pas encore incorporé en droit interne le crime de torture tel qu</w:t>
      </w:r>
      <w:r w:rsidR="00603708">
        <w:rPr>
          <w:lang w:val="fr-FR"/>
        </w:rPr>
        <w:t>’</w:t>
      </w:r>
      <w:r>
        <w:rPr>
          <w:lang w:val="fr-FR"/>
        </w:rPr>
        <w:t xml:space="preserve">il est défini à </w:t>
      </w:r>
      <w:r w:rsidRPr="008F2122">
        <w:rPr>
          <w:lang w:val="fr-FR"/>
        </w:rPr>
        <w:t>l</w:t>
      </w:r>
      <w:r w:rsidR="00603708">
        <w:rPr>
          <w:lang w:val="fr-FR"/>
        </w:rPr>
        <w:t>’</w:t>
      </w:r>
      <w:r w:rsidRPr="008F2122">
        <w:rPr>
          <w:lang w:val="fr-FR"/>
        </w:rPr>
        <w:t>article premier de la Convention (art</w:t>
      </w:r>
      <w:r w:rsidR="007C5B44">
        <w:rPr>
          <w:lang w:val="fr-FR"/>
        </w:rPr>
        <w:t>icles</w:t>
      </w:r>
      <w:r w:rsidRPr="008F2122">
        <w:rPr>
          <w:lang w:val="fr-FR"/>
        </w:rPr>
        <w:t> 1 et 4)</w:t>
      </w:r>
      <w:r w:rsidR="007F3F54">
        <w:rPr>
          <w:lang w:val="fr-FR"/>
        </w:rPr>
        <w:t>. (</w:t>
      </w:r>
      <w:r w:rsidR="00A62736">
        <w:rPr>
          <w:lang w:val="fr-FR"/>
        </w:rPr>
        <w:t>...</w:t>
      </w:r>
      <w:r w:rsidR="007F3F54">
        <w:rPr>
          <w:lang w:val="fr-FR"/>
        </w:rPr>
        <w:t>)</w:t>
      </w:r>
    </w:p>
    <w:p w:rsidR="0032468C" w:rsidRDefault="008F2122" w:rsidP="008F2122">
      <w:pPr>
        <w:pStyle w:val="ECHRParaQuote"/>
        <w:rPr>
          <w:lang w:val="fr-FR"/>
        </w:rPr>
      </w:pPr>
      <w:r w:rsidRPr="008F2122">
        <w:rPr>
          <w:lang w:val="fr-FR"/>
        </w:rPr>
        <w:t>Le Comité réitère sa précédente recommandation (A/54/44, par. 145 a)) tendant à ce que l</w:t>
      </w:r>
      <w:r w:rsidR="00603708">
        <w:rPr>
          <w:lang w:val="fr-FR"/>
        </w:rPr>
        <w:t>’</w:t>
      </w:r>
      <w:r w:rsidRPr="008F2122">
        <w:rPr>
          <w:lang w:val="fr-FR"/>
        </w:rPr>
        <w:t>État partie entreprenne d</w:t>
      </w:r>
      <w:r w:rsidR="00603708">
        <w:rPr>
          <w:lang w:val="fr-FR"/>
        </w:rPr>
        <w:t>’</w:t>
      </w:r>
      <w:r w:rsidRPr="008F2122">
        <w:rPr>
          <w:lang w:val="fr-FR"/>
        </w:rPr>
        <w:t>incorporer le crime de torture dans son droit interne et adopte une définition de la torture couvrant tous les éléments contenus dans l</w:t>
      </w:r>
      <w:r w:rsidR="00603708">
        <w:rPr>
          <w:lang w:val="fr-FR"/>
        </w:rPr>
        <w:t>’</w:t>
      </w:r>
      <w:r w:rsidRPr="008F2122">
        <w:rPr>
          <w:lang w:val="fr-FR"/>
        </w:rPr>
        <w:t>article premier de la Convention. L</w:t>
      </w:r>
      <w:r w:rsidR="00603708">
        <w:rPr>
          <w:lang w:val="fr-FR"/>
        </w:rPr>
        <w:t>’</w:t>
      </w:r>
      <w:r w:rsidRPr="008F2122">
        <w:rPr>
          <w:lang w:val="fr-FR"/>
        </w:rPr>
        <w:t>État partie devrait aussi veiller à ce que ces infractions soient sanctionnées par des peines appropriées qui prennent en considération leur gravité, comme le prévoit le paragraphe 2 de l</w:t>
      </w:r>
      <w:r w:rsidR="00603708">
        <w:rPr>
          <w:lang w:val="fr-FR"/>
        </w:rPr>
        <w:t>’</w:t>
      </w:r>
      <w:r w:rsidRPr="008F2122">
        <w:rPr>
          <w:lang w:val="fr-FR"/>
        </w:rPr>
        <w:t>article 4 de la Convention. »</w:t>
      </w:r>
    </w:p>
    <w:p w:rsidR="0032468C" w:rsidRDefault="00A702E8" w:rsidP="00304757">
      <w:pPr>
        <w:pStyle w:val="ECHRHeading2"/>
        <w:rPr>
          <w:rStyle w:val="s6b621b36"/>
          <w:lang w:val="fr-FR"/>
        </w:rPr>
      </w:pPr>
      <w:r>
        <w:rPr>
          <w:lang w:val="fr-FR"/>
        </w:rPr>
        <w:t>H.</w:t>
      </w:r>
      <w:r w:rsidR="007F3F54">
        <w:rPr>
          <w:lang w:val="fr-FR"/>
        </w:rPr>
        <w:t>  </w:t>
      </w:r>
      <w:r w:rsidR="00D437D5" w:rsidRPr="00D437D5">
        <w:rPr>
          <w:lang w:val="fr-FR"/>
        </w:rPr>
        <w:t>Rapport</w:t>
      </w:r>
      <w:r w:rsidR="005254F7">
        <w:rPr>
          <w:lang w:val="fr-FR"/>
        </w:rPr>
        <w:t>s</w:t>
      </w:r>
      <w:r w:rsidR="00D437D5" w:rsidRPr="00D437D5">
        <w:rPr>
          <w:lang w:val="fr-FR"/>
        </w:rPr>
        <w:t xml:space="preserve"> du </w:t>
      </w:r>
      <w:r w:rsidR="00D437D5">
        <w:rPr>
          <w:lang w:val="fr-FR"/>
        </w:rPr>
        <w:t xml:space="preserve">Comité </w:t>
      </w:r>
      <w:r w:rsidR="00D437D5" w:rsidRPr="00D437D5">
        <w:rPr>
          <w:rStyle w:val="wordhighlighted"/>
          <w:lang w:val="fr-FR"/>
        </w:rPr>
        <w:t>européen pour la prévention de la torture</w:t>
      </w:r>
      <w:r w:rsidR="00D437D5" w:rsidRPr="00D437D5">
        <w:rPr>
          <w:rStyle w:val="s6b621b36"/>
          <w:lang w:val="fr-FR"/>
        </w:rPr>
        <w:t xml:space="preserve"> et des peines ou traitements inhumains ou dégradants</w:t>
      </w:r>
      <w:r w:rsidR="00137A07">
        <w:rPr>
          <w:rStyle w:val="s6b621b36"/>
          <w:lang w:val="fr-FR"/>
        </w:rPr>
        <w:t xml:space="preserve"> et réponses du </w:t>
      </w:r>
      <w:r w:rsidR="00BD25CE">
        <w:rPr>
          <w:rStyle w:val="s6b621b36"/>
          <w:lang w:val="fr-FR"/>
        </w:rPr>
        <w:t>g</w:t>
      </w:r>
      <w:r w:rsidR="00137A07">
        <w:rPr>
          <w:rStyle w:val="s6b621b36"/>
          <w:lang w:val="fr-FR"/>
        </w:rPr>
        <w:t>ouvernement italien</w:t>
      </w:r>
    </w:p>
    <w:p w:rsidR="0032468C" w:rsidRDefault="00683BA9" w:rsidP="005254F7">
      <w:pPr>
        <w:pStyle w:val="ECHRPara"/>
        <w:rPr>
          <w:rFonts w:eastAsiaTheme="minorHAnsi"/>
          <w:lang w:val="fr-FR"/>
        </w:rPr>
      </w:pPr>
      <w:r>
        <w:rPr>
          <w:rStyle w:val="sb8d990e2"/>
          <w:lang w:val="fr-FR"/>
        </w:rPr>
        <w:fldChar w:fldCharType="begin"/>
      </w:r>
      <w:r w:rsidRPr="005254F7">
        <w:rPr>
          <w:rStyle w:val="sb8d990e2"/>
          <w:lang w:val="fr-FR"/>
        </w:rPr>
        <w:instrText xml:space="preserve"> SEQ level0 \*arabic </w:instrText>
      </w:r>
      <w:r>
        <w:rPr>
          <w:rStyle w:val="sb8d990e2"/>
          <w:lang w:val="fr-FR"/>
        </w:rPr>
        <w:fldChar w:fldCharType="separate"/>
      </w:r>
      <w:r w:rsidR="00B378F9">
        <w:rPr>
          <w:rStyle w:val="sb8d990e2"/>
          <w:noProof/>
          <w:lang w:val="fr-FR"/>
        </w:rPr>
        <w:t>116</w:t>
      </w:r>
      <w:r>
        <w:rPr>
          <w:rStyle w:val="sb8d990e2"/>
          <w:lang w:val="fr-FR"/>
        </w:rPr>
        <w:fldChar w:fldCharType="end"/>
      </w:r>
      <w:r w:rsidRPr="005254F7">
        <w:rPr>
          <w:rStyle w:val="sb8d990e2"/>
          <w:lang w:val="fr-FR"/>
        </w:rPr>
        <w:t>.  </w:t>
      </w:r>
      <w:r w:rsidR="005254F7">
        <w:rPr>
          <w:rStyle w:val="sb8d990e2"/>
          <w:lang w:val="fr-FR"/>
        </w:rPr>
        <w:t xml:space="preserve">Le rapport du </w:t>
      </w:r>
      <w:r w:rsidR="005254F7" w:rsidRPr="00683BA9">
        <w:rPr>
          <w:rStyle w:val="sb8d990e2"/>
          <w:lang w:val="fr-FR"/>
        </w:rPr>
        <w:t>CPT</w:t>
      </w:r>
      <w:r w:rsidR="00BD25CE">
        <w:rPr>
          <w:rStyle w:val="sb8d990e2"/>
          <w:lang w:val="fr-FR"/>
        </w:rPr>
        <w:t xml:space="preserve"> </w:t>
      </w:r>
      <w:r w:rsidR="005254F7" w:rsidRPr="00683BA9">
        <w:rPr>
          <w:rStyle w:val="sb8d990e2"/>
          <w:lang w:val="fr-FR"/>
        </w:rPr>
        <w:t xml:space="preserve">au </w:t>
      </w:r>
      <w:r w:rsidR="00BD25CE">
        <w:rPr>
          <w:rStyle w:val="sb8d990e2"/>
          <w:lang w:val="fr-FR"/>
        </w:rPr>
        <w:t>g</w:t>
      </w:r>
      <w:r w:rsidR="005254F7">
        <w:rPr>
          <w:rStyle w:val="sb8d990e2"/>
          <w:lang w:val="fr-FR"/>
        </w:rPr>
        <w:t>ouvernement</w:t>
      </w:r>
      <w:r w:rsidR="005254F7" w:rsidRPr="00683BA9">
        <w:rPr>
          <w:rStyle w:val="sb8d990e2"/>
          <w:lang w:val="fr-FR"/>
        </w:rPr>
        <w:t xml:space="preserve"> </w:t>
      </w:r>
      <w:r w:rsidR="005254F7">
        <w:rPr>
          <w:rStyle w:val="sb8d990e2"/>
          <w:lang w:val="fr-FR"/>
        </w:rPr>
        <w:t>italien</w:t>
      </w:r>
      <w:r w:rsidR="005254F7" w:rsidRPr="00683BA9">
        <w:rPr>
          <w:rStyle w:val="sb8d990e2"/>
          <w:lang w:val="fr-FR"/>
        </w:rPr>
        <w:t xml:space="preserve"> sur la </w:t>
      </w:r>
      <w:r w:rsidR="005254F7" w:rsidRPr="00683BA9">
        <w:rPr>
          <w:rStyle w:val="wordhighlighted"/>
          <w:lang w:val="fr-FR"/>
        </w:rPr>
        <w:t>visite</w:t>
      </w:r>
      <w:r w:rsidR="005254F7" w:rsidRPr="00683BA9">
        <w:rPr>
          <w:rStyle w:val="sb8d990e2"/>
          <w:lang w:val="fr-FR"/>
        </w:rPr>
        <w:t xml:space="preserve"> qu</w:t>
      </w:r>
      <w:r w:rsidR="00603708">
        <w:rPr>
          <w:rStyle w:val="sb8d990e2"/>
          <w:lang w:val="fr-FR"/>
        </w:rPr>
        <w:t>’</w:t>
      </w:r>
      <w:r w:rsidR="005254F7" w:rsidRPr="00683BA9">
        <w:rPr>
          <w:rStyle w:val="sb8d990e2"/>
          <w:lang w:val="fr-FR"/>
        </w:rPr>
        <w:t>il a effectuée</w:t>
      </w:r>
      <w:r w:rsidR="005254F7">
        <w:rPr>
          <w:rStyle w:val="sb8d990e2"/>
          <w:lang w:val="fr-FR"/>
        </w:rPr>
        <w:t xml:space="preserve"> en Italie</w:t>
      </w:r>
      <w:r w:rsidR="005254F7" w:rsidRPr="00683BA9">
        <w:rPr>
          <w:rStyle w:val="sb8d990e2"/>
          <w:lang w:val="fr-FR"/>
        </w:rPr>
        <w:t xml:space="preserve"> </w:t>
      </w:r>
      <w:r w:rsidR="005254F7">
        <w:rPr>
          <w:rStyle w:val="sb8d990e2"/>
          <w:lang w:val="fr-FR"/>
        </w:rPr>
        <w:t xml:space="preserve">du </w:t>
      </w:r>
      <w:r w:rsidR="004057DB">
        <w:rPr>
          <w:rStyle w:val="sb8d990e2"/>
          <w:lang w:val="fr-FR"/>
        </w:rPr>
        <w:t xml:space="preserve">21 novembre au 3 décembre 2004 </w:t>
      </w:r>
      <w:r w:rsidR="005254F7">
        <w:rPr>
          <w:rStyle w:val="sb8d990e2"/>
          <w:lang w:val="fr-FR"/>
        </w:rPr>
        <w:t>(</w:t>
      </w:r>
      <w:r w:rsidR="005254F7" w:rsidRPr="005254F7">
        <w:rPr>
          <w:rStyle w:val="sb8d990e2"/>
          <w:lang w:val="fr-FR"/>
        </w:rPr>
        <w:t>CPT/Inf (2006) 16</w:t>
      </w:r>
      <w:r w:rsidR="007424CD">
        <w:rPr>
          <w:rStyle w:val="sb8d990e2"/>
          <w:lang w:val="fr-FR"/>
        </w:rPr>
        <w:t> </w:t>
      </w:r>
      <w:r w:rsidR="005254F7">
        <w:rPr>
          <w:rStyle w:val="sb8d990e2"/>
          <w:lang w:val="fr-FR"/>
        </w:rPr>
        <w:t>du 27 avril 2006) se lit ainsi dans sa partie pertinente</w:t>
      </w:r>
      <w:r w:rsidR="007F3F54">
        <w:rPr>
          <w:rStyle w:val="sb8d990e2"/>
          <w:lang w:val="fr-FR"/>
        </w:rPr>
        <w:t xml:space="preserve"> en l</w:t>
      </w:r>
      <w:r w:rsidR="00603708">
        <w:rPr>
          <w:rStyle w:val="sb8d990e2"/>
          <w:lang w:val="fr-FR"/>
        </w:rPr>
        <w:t>’</w:t>
      </w:r>
      <w:r w:rsidR="007F3F54">
        <w:rPr>
          <w:rStyle w:val="sb8d990e2"/>
          <w:lang w:val="fr-FR"/>
        </w:rPr>
        <w:t>espèce</w:t>
      </w:r>
      <w:r w:rsidR="005254F7">
        <w:rPr>
          <w:rStyle w:val="sb8d990e2"/>
          <w:lang w:val="fr-FR"/>
        </w:rPr>
        <w:t> :</w:t>
      </w:r>
    </w:p>
    <w:p w:rsidR="005254F7" w:rsidRPr="005254F7" w:rsidRDefault="005254F7" w:rsidP="005254F7">
      <w:pPr>
        <w:pStyle w:val="ECHRParaQuote"/>
        <w:rPr>
          <w:rFonts w:eastAsiaTheme="minorHAnsi"/>
          <w:lang w:val="fr-FR"/>
        </w:rPr>
      </w:pPr>
      <w:r>
        <w:rPr>
          <w:rFonts w:eastAsiaTheme="minorHAnsi"/>
          <w:lang w:val="fr-FR"/>
        </w:rPr>
        <w:t>« </w:t>
      </w:r>
      <w:r w:rsidRPr="005254F7">
        <w:rPr>
          <w:rFonts w:eastAsiaTheme="minorHAnsi"/>
          <w:lang w:val="fr-FR"/>
        </w:rPr>
        <w:t>11.</w:t>
      </w:r>
      <w:r w:rsidR="007F3F54">
        <w:rPr>
          <w:rFonts w:eastAsiaTheme="minorHAnsi"/>
          <w:lang w:val="fr-FR"/>
        </w:rPr>
        <w:t>  </w:t>
      </w:r>
      <w:r w:rsidRPr="005254F7">
        <w:rPr>
          <w:rFonts w:eastAsiaTheme="minorHAnsi"/>
          <w:lang w:val="fr-FR"/>
        </w:rPr>
        <w:t>Le CPT a suivi, et ce depuis de nombreuses années, le cheminement au Parlemen</w:t>
      </w:r>
      <w:r w:rsidR="004057DB">
        <w:rPr>
          <w:rFonts w:eastAsiaTheme="minorHAnsi"/>
          <w:lang w:val="fr-FR"/>
        </w:rPr>
        <w:t>t du projet de texte visant à l</w:t>
      </w:r>
      <w:r w:rsidR="00603708">
        <w:rPr>
          <w:rFonts w:eastAsiaTheme="minorHAnsi"/>
          <w:lang w:val="fr-FR"/>
        </w:rPr>
        <w:t>’</w:t>
      </w:r>
      <w:r w:rsidRPr="005254F7">
        <w:rPr>
          <w:rFonts w:eastAsiaTheme="minorHAnsi"/>
          <w:lang w:val="fr-FR"/>
        </w:rPr>
        <w:t>introduction du délit de torture dans le Code pénal. Ces efforts connurent leur apogée le 22 avril 2004, avec la discussion, en séance pléniè</w:t>
      </w:r>
      <w:r w:rsidR="004057DB">
        <w:rPr>
          <w:rFonts w:eastAsiaTheme="minorHAnsi"/>
          <w:lang w:val="fr-FR"/>
        </w:rPr>
        <w:t>re, d</w:t>
      </w:r>
      <w:r w:rsidR="00603708">
        <w:rPr>
          <w:rFonts w:eastAsiaTheme="minorHAnsi"/>
          <w:lang w:val="fr-FR"/>
        </w:rPr>
        <w:t>’</w:t>
      </w:r>
      <w:r w:rsidR="004057DB">
        <w:rPr>
          <w:rFonts w:eastAsiaTheme="minorHAnsi"/>
          <w:lang w:val="fr-FR"/>
        </w:rPr>
        <w:t>un nouvel article 613 bis.</w:t>
      </w:r>
      <w:r w:rsidRPr="005254F7">
        <w:rPr>
          <w:rFonts w:eastAsiaTheme="minorHAnsi"/>
          <w:position w:val="12"/>
          <w:vertAlign w:val="superscript"/>
          <w:lang w:val="fr-FR"/>
        </w:rPr>
        <w:t xml:space="preserve"> </w:t>
      </w:r>
      <w:r w:rsidRPr="005254F7">
        <w:rPr>
          <w:rFonts w:eastAsiaTheme="minorHAnsi"/>
          <w:lang w:val="fr-FR"/>
        </w:rPr>
        <w:t>Toutefois, ce projet de texte fit l</w:t>
      </w:r>
      <w:r w:rsidR="00603708">
        <w:rPr>
          <w:rFonts w:eastAsiaTheme="minorHAnsi"/>
          <w:lang w:val="fr-FR"/>
        </w:rPr>
        <w:t>’</w:t>
      </w:r>
      <w:r w:rsidRPr="005254F7">
        <w:rPr>
          <w:rFonts w:eastAsiaTheme="minorHAnsi"/>
          <w:lang w:val="fr-FR"/>
        </w:rPr>
        <w:t>objet d</w:t>
      </w:r>
      <w:r w:rsidR="00603708">
        <w:rPr>
          <w:rFonts w:eastAsiaTheme="minorHAnsi"/>
          <w:lang w:val="fr-FR"/>
        </w:rPr>
        <w:t>’</w:t>
      </w:r>
      <w:r w:rsidRPr="005254F7">
        <w:rPr>
          <w:rFonts w:eastAsiaTheme="minorHAnsi"/>
          <w:lang w:val="fr-FR"/>
        </w:rPr>
        <w:t>un amendement de dernière minute (l</w:t>
      </w:r>
      <w:r w:rsidR="00603708">
        <w:rPr>
          <w:rFonts w:eastAsiaTheme="minorHAnsi"/>
          <w:lang w:val="fr-FR"/>
        </w:rPr>
        <w:t>’</w:t>
      </w:r>
      <w:r w:rsidRPr="005254F7">
        <w:rPr>
          <w:rFonts w:eastAsiaTheme="minorHAnsi"/>
          <w:lang w:val="fr-FR"/>
        </w:rPr>
        <w:t>adjonction de la not</w:t>
      </w:r>
      <w:r w:rsidR="004057DB">
        <w:rPr>
          <w:rFonts w:eastAsiaTheme="minorHAnsi"/>
          <w:lang w:val="fr-FR"/>
        </w:rPr>
        <w:t xml:space="preserve">ion de violences ou de menaces </w:t>
      </w:r>
      <w:r w:rsidR="004057DB" w:rsidRPr="004057DB">
        <w:rPr>
          <w:lang w:val="fr-FR"/>
        </w:rPr>
        <w:t>“</w:t>
      </w:r>
      <w:r w:rsidRPr="005254F7">
        <w:rPr>
          <w:rFonts w:eastAsiaTheme="minorHAnsi"/>
          <w:lang w:val="fr-FR"/>
        </w:rPr>
        <w:t>répétées</w:t>
      </w:r>
      <w:r w:rsidR="004057DB" w:rsidRPr="004057DB">
        <w:rPr>
          <w:color w:val="000000"/>
          <w:sz w:val="23"/>
          <w:szCs w:val="23"/>
          <w:lang w:val="fr-FR"/>
        </w:rPr>
        <w:t>”</w:t>
      </w:r>
      <w:r w:rsidRPr="005254F7">
        <w:rPr>
          <w:rFonts w:eastAsiaTheme="minorHAnsi"/>
          <w:lang w:val="fr-FR"/>
        </w:rPr>
        <w:t>), qui restreignit de manière excessive la notion de torture envisagée</w:t>
      </w:r>
      <w:r w:rsidR="004057DB">
        <w:rPr>
          <w:rFonts w:eastAsiaTheme="minorHAnsi"/>
          <w:lang w:val="fr-FR"/>
        </w:rPr>
        <w:t xml:space="preserve"> au préalable. Il fut convenu d</w:t>
      </w:r>
      <w:r w:rsidR="00603708">
        <w:rPr>
          <w:rFonts w:eastAsiaTheme="minorHAnsi"/>
          <w:lang w:val="fr-FR"/>
        </w:rPr>
        <w:t>’</w:t>
      </w:r>
      <w:r w:rsidRPr="005254F7">
        <w:rPr>
          <w:rFonts w:eastAsiaTheme="minorHAnsi"/>
          <w:lang w:val="fr-FR"/>
        </w:rPr>
        <w:t>un nouveau texte, ne reprenant pas cette limitation, au sein de la Commission de la Justice du Parlement le 9 mars 2005. Depuis lors, le processus législatif est bloqué.</w:t>
      </w:r>
    </w:p>
    <w:p w:rsidR="005254F7" w:rsidRDefault="005254F7" w:rsidP="005254F7">
      <w:pPr>
        <w:pStyle w:val="ECHRParaQuote"/>
        <w:rPr>
          <w:rFonts w:ascii="Times New Roman" w:eastAsiaTheme="minorHAnsi" w:hAnsi="Times New Roman" w:cs="Times New Roman"/>
          <w:bCs/>
          <w:lang w:val="fr-FR"/>
        </w:rPr>
      </w:pPr>
      <w:r w:rsidRPr="005254F7">
        <w:rPr>
          <w:rFonts w:ascii="Times New Roman" w:eastAsiaTheme="minorHAnsi" w:hAnsi="Times New Roman" w:cs="Times New Roman"/>
          <w:bCs/>
          <w:lang w:val="fr-FR"/>
        </w:rPr>
        <w:t>Le CPT espère vivement que les autorités italiennes persév</w:t>
      </w:r>
      <w:r w:rsidR="008E00A0">
        <w:rPr>
          <w:rFonts w:ascii="Times New Roman" w:eastAsiaTheme="minorHAnsi" w:hAnsi="Times New Roman" w:cs="Times New Roman"/>
          <w:bCs/>
          <w:lang w:val="fr-FR"/>
        </w:rPr>
        <w:t>é</w:t>
      </w:r>
      <w:r w:rsidRPr="005254F7">
        <w:rPr>
          <w:rFonts w:ascii="Times New Roman" w:eastAsiaTheme="minorHAnsi" w:hAnsi="Times New Roman" w:cs="Times New Roman"/>
          <w:bCs/>
          <w:lang w:val="fr-FR"/>
        </w:rPr>
        <w:t>reront dans leurs efforts visant à l</w:t>
      </w:r>
      <w:r w:rsidR="00603708">
        <w:rPr>
          <w:rFonts w:ascii="Times New Roman" w:eastAsiaTheme="minorHAnsi" w:hAnsi="Times New Roman" w:cs="Times New Roman"/>
          <w:bCs/>
          <w:lang w:val="fr-FR"/>
        </w:rPr>
        <w:t>’</w:t>
      </w:r>
      <w:r w:rsidRPr="005254F7">
        <w:rPr>
          <w:rFonts w:ascii="Times New Roman" w:eastAsiaTheme="minorHAnsi" w:hAnsi="Times New Roman" w:cs="Times New Roman"/>
          <w:bCs/>
          <w:lang w:val="fr-FR"/>
        </w:rPr>
        <w:t>introduction dans le Code pénal du délit de torture</w:t>
      </w:r>
      <w:r w:rsidR="007F3F54">
        <w:rPr>
          <w:rFonts w:ascii="Times New Roman" w:eastAsiaTheme="minorHAnsi" w:hAnsi="Times New Roman" w:cs="Times New Roman"/>
          <w:bCs/>
          <w:lang w:val="fr-FR"/>
        </w:rPr>
        <w:t>.</w:t>
      </w:r>
    </w:p>
    <w:p w:rsidR="005E4EA2" w:rsidRDefault="005E4EA2" w:rsidP="005254F7">
      <w:pPr>
        <w:pStyle w:val="ECHRParaQuote"/>
        <w:rPr>
          <w:rFonts w:ascii="Times New Roman" w:eastAsiaTheme="minorHAnsi" w:hAnsi="Times New Roman" w:cs="Times New Roman"/>
          <w:bCs/>
          <w:lang w:val="fr-FR"/>
        </w:rPr>
      </w:pPr>
      <w:r>
        <w:rPr>
          <w:rFonts w:ascii="Times New Roman" w:eastAsiaTheme="minorHAnsi" w:hAnsi="Times New Roman" w:cs="Times New Roman"/>
          <w:bCs/>
          <w:lang w:val="fr-FR"/>
        </w:rPr>
        <w:t>(</w:t>
      </w:r>
      <w:r w:rsidR="0032468C">
        <w:rPr>
          <w:rFonts w:ascii="Times New Roman" w:eastAsiaTheme="minorHAnsi" w:hAnsi="Times New Roman" w:cs="Times New Roman"/>
          <w:bCs/>
          <w:lang w:val="fr-FR"/>
        </w:rPr>
        <w:t>...</w:t>
      </w:r>
      <w:r>
        <w:rPr>
          <w:rFonts w:ascii="Times New Roman" w:eastAsiaTheme="minorHAnsi" w:hAnsi="Times New Roman" w:cs="Times New Roman"/>
          <w:bCs/>
          <w:lang w:val="fr-FR"/>
        </w:rPr>
        <w:t>)</w:t>
      </w:r>
    </w:p>
    <w:p w:rsidR="0032468C" w:rsidRDefault="005E4EA2" w:rsidP="005E4EA2">
      <w:pPr>
        <w:pStyle w:val="ECHRParaQuote"/>
        <w:rPr>
          <w:rFonts w:eastAsiaTheme="minorHAnsi"/>
          <w:lang w:val="fr-FR"/>
        </w:rPr>
      </w:pPr>
      <w:r w:rsidRPr="005E4EA2">
        <w:rPr>
          <w:rFonts w:eastAsiaTheme="minorHAnsi"/>
          <w:lang w:val="fr-FR"/>
        </w:rPr>
        <w:t>14.</w:t>
      </w:r>
      <w:r w:rsidR="007F3F54">
        <w:rPr>
          <w:rFonts w:eastAsiaTheme="minorHAnsi"/>
          <w:lang w:val="fr-FR"/>
        </w:rPr>
        <w:t>  </w:t>
      </w:r>
      <w:r w:rsidRPr="005E4EA2">
        <w:rPr>
          <w:rFonts w:eastAsiaTheme="minorHAnsi"/>
          <w:lang w:val="fr-FR"/>
        </w:rPr>
        <w:t>Le CPT a engagé, dès 2001, un dialogue avec les autorités italiennes concernant les év</w:t>
      </w:r>
      <w:r w:rsidR="00650C81">
        <w:rPr>
          <w:rFonts w:eastAsiaTheme="minorHAnsi"/>
          <w:lang w:val="fr-FR"/>
        </w:rPr>
        <w:t>é</w:t>
      </w:r>
      <w:r w:rsidRPr="005E4EA2">
        <w:rPr>
          <w:rFonts w:eastAsiaTheme="minorHAnsi"/>
          <w:lang w:val="fr-FR"/>
        </w:rPr>
        <w:t>nements qui se sont déroulés à Naples (le 17 mars 2001) et à Gênes (du 20 au 22 juillet 2001). Les auto</w:t>
      </w:r>
      <w:r>
        <w:rPr>
          <w:rFonts w:eastAsiaTheme="minorHAnsi"/>
          <w:lang w:val="fr-FR"/>
        </w:rPr>
        <w:t>rités italiennes ont continué d</w:t>
      </w:r>
      <w:r w:rsidR="00603708">
        <w:rPr>
          <w:rFonts w:eastAsiaTheme="minorHAnsi"/>
          <w:lang w:val="fr-FR"/>
        </w:rPr>
        <w:t>’</w:t>
      </w:r>
      <w:r w:rsidRPr="005E4EA2">
        <w:rPr>
          <w:rFonts w:eastAsiaTheme="minorHAnsi"/>
          <w:lang w:val="fr-FR"/>
        </w:rPr>
        <w:t>informer le Comité sur les suites réservées aux allégations de mauvais trait</w:t>
      </w:r>
      <w:r>
        <w:rPr>
          <w:rFonts w:eastAsiaTheme="minorHAnsi"/>
          <w:lang w:val="fr-FR"/>
        </w:rPr>
        <w:t>ements formulées à l</w:t>
      </w:r>
      <w:r w:rsidR="00603708">
        <w:rPr>
          <w:rFonts w:eastAsiaTheme="minorHAnsi"/>
          <w:lang w:val="fr-FR"/>
        </w:rPr>
        <w:t>’</w:t>
      </w:r>
      <w:r>
        <w:rPr>
          <w:rFonts w:eastAsiaTheme="minorHAnsi"/>
          <w:lang w:val="fr-FR"/>
        </w:rPr>
        <w:t>encontre des forces de l</w:t>
      </w:r>
      <w:r w:rsidR="00603708">
        <w:rPr>
          <w:rFonts w:eastAsiaTheme="minorHAnsi"/>
          <w:lang w:val="fr-FR"/>
        </w:rPr>
        <w:t>’</w:t>
      </w:r>
      <w:r w:rsidRPr="005E4EA2">
        <w:rPr>
          <w:rFonts w:eastAsiaTheme="minorHAnsi"/>
          <w:lang w:val="fr-FR"/>
        </w:rPr>
        <w:t>ordre. Dans ce cadre</w:t>
      </w:r>
      <w:r>
        <w:rPr>
          <w:rFonts w:eastAsiaTheme="minorHAnsi"/>
          <w:lang w:val="fr-FR"/>
        </w:rPr>
        <w:t>, les autorités ont fourni, à l</w:t>
      </w:r>
      <w:r w:rsidR="00603708">
        <w:rPr>
          <w:rFonts w:eastAsiaTheme="minorHAnsi"/>
          <w:lang w:val="fr-FR"/>
        </w:rPr>
        <w:t>’</w:t>
      </w:r>
      <w:r w:rsidRPr="005E4EA2">
        <w:rPr>
          <w:rFonts w:eastAsiaTheme="minorHAnsi"/>
          <w:lang w:val="fr-FR"/>
        </w:rPr>
        <w:t>occasion de la visite, une liste des poursuites judiciaires et disciplinaires en cours.</w:t>
      </w:r>
    </w:p>
    <w:p w:rsidR="005E4EA2" w:rsidRPr="005E4EA2" w:rsidRDefault="005E4EA2" w:rsidP="005E4EA2">
      <w:pPr>
        <w:pStyle w:val="ECHRParaQuote"/>
        <w:rPr>
          <w:rFonts w:ascii="Times New Roman" w:eastAsiaTheme="minorHAnsi" w:hAnsi="Times New Roman" w:cs="Times New Roman"/>
          <w:bCs/>
          <w:lang w:val="fr-FR"/>
        </w:rPr>
      </w:pPr>
      <w:r w:rsidRPr="005E4EA2">
        <w:rPr>
          <w:rFonts w:eastAsiaTheme="minorHAnsi"/>
          <w:lang w:val="fr-FR"/>
        </w:rPr>
        <w:t>L</w:t>
      </w:r>
      <w:r w:rsidRPr="005E4EA2">
        <w:rPr>
          <w:rFonts w:ascii="Times New Roman" w:eastAsiaTheme="minorHAnsi" w:hAnsi="Times New Roman" w:cs="Times New Roman"/>
          <w:bCs/>
          <w:lang w:val="fr-FR"/>
        </w:rPr>
        <w:t>e CPT souhaite être tenu régulièrement informé de l</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 xml:space="preserve">évolution des poursuites judiciaires et disciplinaires ci-dessus. </w:t>
      </w:r>
      <w:r w:rsidRPr="005E4EA2">
        <w:rPr>
          <w:rFonts w:eastAsiaTheme="minorHAnsi"/>
          <w:lang w:val="fr-FR"/>
        </w:rPr>
        <w:t xml:space="preserve">En outre, </w:t>
      </w:r>
      <w:r w:rsidRPr="005E4EA2">
        <w:rPr>
          <w:rFonts w:ascii="Times New Roman" w:eastAsiaTheme="minorHAnsi" w:hAnsi="Times New Roman" w:cs="Times New Roman"/>
          <w:bCs/>
          <w:lang w:val="fr-FR"/>
        </w:rPr>
        <w:t>il souhaite recevoir des informations détaillées sur les mesures prises par les autorités italiennes visant à éviter le renouvellement d</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épisodes similaires dans le futur (par exemple, au niveau de la gestion des opérations de maintien de l</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ordre d</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envergure, au niveau de la formation du personnel d</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encadrement et d</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exécution, et au niveau des systèmes de contrôle et d</w:t>
      </w:r>
      <w:r w:rsidR="00603708">
        <w:rPr>
          <w:rFonts w:ascii="Times New Roman" w:eastAsiaTheme="minorHAnsi" w:hAnsi="Times New Roman" w:cs="Times New Roman"/>
          <w:bCs/>
          <w:lang w:val="fr-FR"/>
        </w:rPr>
        <w:t>’</w:t>
      </w:r>
      <w:r w:rsidRPr="005E4EA2">
        <w:rPr>
          <w:rFonts w:ascii="Times New Roman" w:eastAsiaTheme="minorHAnsi" w:hAnsi="Times New Roman" w:cs="Times New Roman"/>
          <w:bCs/>
          <w:lang w:val="fr-FR"/>
        </w:rPr>
        <w:t>inspection).</w:t>
      </w:r>
      <w:r>
        <w:rPr>
          <w:rFonts w:ascii="Times New Roman" w:eastAsiaTheme="minorHAnsi" w:hAnsi="Times New Roman" w:cs="Times New Roman"/>
          <w:bCs/>
          <w:lang w:val="fr-FR"/>
        </w:rPr>
        <w:t> »</w:t>
      </w:r>
    </w:p>
    <w:p w:rsidR="0032468C" w:rsidRDefault="004057DB" w:rsidP="004057DB">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B378F9">
        <w:rPr>
          <w:rStyle w:val="sb8d990e2"/>
          <w:noProof/>
          <w:lang w:val="fr-FR"/>
        </w:rPr>
        <w:t>117</w:t>
      </w:r>
      <w:r>
        <w:rPr>
          <w:rStyle w:val="sb8d990e2"/>
          <w:lang w:val="fr-FR"/>
        </w:rPr>
        <w:fldChar w:fldCharType="end"/>
      </w:r>
      <w:r>
        <w:rPr>
          <w:rStyle w:val="sb8d990e2"/>
          <w:lang w:val="fr-FR"/>
        </w:rPr>
        <w:t xml:space="preserve">.  La réponse publiée à la demande du </w:t>
      </w:r>
      <w:r w:rsidR="00BD25CE">
        <w:rPr>
          <w:rStyle w:val="sb8d990e2"/>
          <w:lang w:val="fr-FR"/>
        </w:rPr>
        <w:t>g</w:t>
      </w:r>
      <w:r>
        <w:rPr>
          <w:rStyle w:val="sb8d990e2"/>
          <w:lang w:val="fr-FR"/>
        </w:rPr>
        <w:t xml:space="preserve">ouvernement italien </w:t>
      </w:r>
      <w:r w:rsidRPr="007C7CDD">
        <w:rPr>
          <w:rStyle w:val="sb8d990e2"/>
          <w:lang w:val="fr-FR"/>
        </w:rPr>
        <w:t>(</w:t>
      </w:r>
      <w:r w:rsidRPr="007C7CDD">
        <w:rPr>
          <w:lang w:val="fr-FR"/>
        </w:rPr>
        <w:t xml:space="preserve">CPT/Inf </w:t>
      </w:r>
      <w:r>
        <w:rPr>
          <w:lang w:val="fr-FR"/>
        </w:rPr>
        <w:t>(2006)</w:t>
      </w:r>
      <w:r w:rsidRPr="007C7CDD">
        <w:rPr>
          <w:lang w:val="fr-FR"/>
        </w:rPr>
        <w:t xml:space="preserve"> </w:t>
      </w:r>
      <w:r>
        <w:rPr>
          <w:lang w:val="fr-FR"/>
        </w:rPr>
        <w:t>du 27 avril 2006</w:t>
      </w:r>
      <w:r w:rsidRPr="007C7CDD">
        <w:rPr>
          <w:lang w:val="fr-FR"/>
        </w:rPr>
        <w:t xml:space="preserve">), </w:t>
      </w:r>
      <w:r>
        <w:rPr>
          <w:lang w:val="fr-FR"/>
        </w:rPr>
        <w:t>est libellée comme suit</w:t>
      </w:r>
      <w:r w:rsidR="000121B9">
        <w:rPr>
          <w:lang w:val="fr-FR"/>
        </w:rPr>
        <w:t> </w:t>
      </w:r>
      <w:r w:rsidRPr="007C7CDD">
        <w:rPr>
          <w:lang w:val="fr-FR"/>
        </w:rPr>
        <w:t>:</w:t>
      </w:r>
    </w:p>
    <w:p w:rsidR="004057DB" w:rsidRPr="000121B9" w:rsidRDefault="004057DB" w:rsidP="004057DB">
      <w:pPr>
        <w:pStyle w:val="ECHRParaQuote"/>
      </w:pPr>
      <w:r w:rsidRPr="000121B9">
        <w:t xml:space="preserve">« With specific regard to </w:t>
      </w:r>
      <w:r w:rsidRPr="000121B9">
        <w:rPr>
          <w:bCs/>
        </w:rPr>
        <w:t>the insertion and the formal definition of the crime of torture</w:t>
      </w:r>
      <w:r w:rsidRPr="000121B9">
        <w:rPr>
          <w:b/>
          <w:bCs/>
        </w:rPr>
        <w:t xml:space="preserve"> </w:t>
      </w:r>
      <w:r w:rsidRPr="000121B9">
        <w:t xml:space="preserve">in the Italian Criminal Code, the absence of such crime in the Criminal Code does not mean in any case that in Italy torture exists. If, on the one hand, torture does not exist because this is a practice far from our mentality, on the other hand some sections of the Criminal Code severely punish such behavior, even though the term "torture" as such is not included in the Code itself. Moreover, we are considering the possibility, in relation to the adjustment of our legal system to the Statute of the International Criminal Court, to insert the crime of torture in our system, through a wider and more comprehensive definition if compared to the relevant international Conventions. However, the substance will not change; with or without the word "torture" in the Criminal Code. Art.32 of Bill No. 6050 (2005), as introduced at the Senate level, envisages </w:t>
      </w:r>
      <w:r w:rsidRPr="000121B9">
        <w:rPr>
          <w:i/>
          <w:iCs/>
        </w:rPr>
        <w:t xml:space="preserve">inter alia </w:t>
      </w:r>
      <w:r w:rsidRPr="000121B9">
        <w:t>that: “Anybody who harms an individual under his/her control or custody with serious sufferings, both physical and psychological, is convicted to detention penalty of up to ten years (...)</w:t>
      </w:r>
    </w:p>
    <w:p w:rsidR="00137A07" w:rsidRPr="000121B9" w:rsidRDefault="00137A07" w:rsidP="004057DB">
      <w:pPr>
        <w:pStyle w:val="ECHRParaQuote"/>
      </w:pPr>
      <w:r w:rsidRPr="000121B9">
        <w:t>(</w:t>
      </w:r>
      <w:r w:rsidR="0032468C" w:rsidRPr="000121B9">
        <w:t>...</w:t>
      </w:r>
      <w:r w:rsidRPr="000121B9">
        <w:t>)</w:t>
      </w:r>
    </w:p>
    <w:p w:rsidR="0032468C" w:rsidRPr="000121B9" w:rsidRDefault="005E4EA2" w:rsidP="004057DB">
      <w:pPr>
        <w:pStyle w:val="ECHRParaQuote"/>
      </w:pPr>
      <w:r w:rsidRPr="000121B9">
        <w:t>«</w:t>
      </w:r>
      <w:r w:rsidR="004057DB" w:rsidRPr="000121B9">
        <w:t>As to the so-called “Genoa events”, the judicial proceedings refer and concern three different episodes:</w:t>
      </w:r>
    </w:p>
    <w:p w:rsidR="004057DB" w:rsidRPr="000121B9" w:rsidRDefault="004057DB" w:rsidP="004057DB">
      <w:pPr>
        <w:pStyle w:val="ECHRParaQuote"/>
      </w:pPr>
      <w:r w:rsidRPr="000121B9">
        <w:t>(</w:t>
      </w:r>
      <w:r w:rsidR="0032468C" w:rsidRPr="000121B9">
        <w:t>...</w:t>
      </w:r>
      <w:r w:rsidRPr="000121B9">
        <w:t>)</w:t>
      </w:r>
    </w:p>
    <w:p w:rsidR="0032468C" w:rsidRPr="000121B9" w:rsidRDefault="004057DB" w:rsidP="004057DB">
      <w:pPr>
        <w:pStyle w:val="ECHRParaQuote"/>
      </w:pPr>
      <w:r w:rsidRPr="000121B9">
        <w:t>iii.</w:t>
      </w:r>
      <w:r w:rsidR="007F3F54">
        <w:t>  </w:t>
      </w:r>
      <w:r w:rsidRPr="000121B9">
        <w:t>As to the criminal proceeding following the events occurred at the “Diaz</w:t>
      </w:r>
      <w:r w:rsidR="0008093D">
        <w:t> </w:t>
      </w:r>
      <w:r w:rsidRPr="000121B9">
        <w:t>primary school premises”, the last hearing took place on 11 January 2006. The</w:t>
      </w:r>
      <w:r w:rsidR="0008093D">
        <w:t> </w:t>
      </w:r>
      <w:r w:rsidRPr="000121B9">
        <w:t>outcome of the cited hearing is awaited. The cited indications underline that such conduct does not lack of punishment. In fact, despite the lack of the nomen of torture in the Italian relevant code, several provisions are applied when such conduct is reported.</w:t>
      </w:r>
    </w:p>
    <w:p w:rsidR="004057DB" w:rsidRPr="000121B9" w:rsidRDefault="004057DB" w:rsidP="004057DB">
      <w:pPr>
        <w:pStyle w:val="ECHRParaQuote"/>
        <w:rPr>
          <w:rStyle w:val="sb8d990e2"/>
        </w:rPr>
      </w:pPr>
      <w:r w:rsidRPr="000121B9">
        <w:t>In light of Article 11 of Presidential Decree No.737/1981, no disciplinary measures have been applied so far to the Police staff who are subject of criminal proceedings in connection with the cited events, due to the fact that, even if sanctions were imposed, these would necessarily have to be suspended. The reasoning behind this provision is self-evident: to avoid any interference with the criminal action for events that are still being evaluated by the Judicial Authority both in terms of the detection and historical reconstruction of facts and of defence safeguards. A disciplinary evaluation of individual behaviour will therefore follow the conclusion of the relevant criminal cases without a possibility to invoke any statute of limitations. It should be noted in particular that, after 2001, thanks to various initiatives taken by the Department of Public Security at the Interior Ministry also in the training field, no remarks have been made with regard to the policing of major events. Moreover, also on the occasion of ordinary events which are important in terms of public order management such as sport events a substantial decrease has been registered in the episodes requesting the use o</w:t>
      </w:r>
      <w:r w:rsidR="005E4EA2" w:rsidRPr="000121B9">
        <w:t>f force or deterrence measures. »</w:t>
      </w:r>
    </w:p>
    <w:p w:rsidR="0038537C" w:rsidRPr="000121B9" w:rsidRDefault="007C7CDD" w:rsidP="00304757">
      <w:pPr>
        <w:pStyle w:val="ECHRPara"/>
        <w:rPr>
          <w:rStyle w:val="sb8d990e2"/>
          <w:lang w:val="fr-FR"/>
        </w:rPr>
      </w:pPr>
      <w:r w:rsidRPr="000121B9">
        <w:rPr>
          <w:rStyle w:val="sb8d990e2"/>
          <w:lang w:val="fr-FR"/>
        </w:rPr>
        <w:fldChar w:fldCharType="begin"/>
      </w:r>
      <w:r w:rsidRPr="000121B9">
        <w:rPr>
          <w:rStyle w:val="sb8d990e2"/>
          <w:lang w:val="fr-FR"/>
        </w:rPr>
        <w:instrText xml:space="preserve"> SEQ level0 \*arabic </w:instrText>
      </w:r>
      <w:r w:rsidRPr="000121B9">
        <w:rPr>
          <w:rStyle w:val="sb8d990e2"/>
          <w:lang w:val="fr-FR"/>
        </w:rPr>
        <w:fldChar w:fldCharType="separate"/>
      </w:r>
      <w:r w:rsidR="00B378F9">
        <w:rPr>
          <w:rStyle w:val="sb8d990e2"/>
          <w:noProof/>
          <w:lang w:val="fr-FR"/>
        </w:rPr>
        <w:t>118</w:t>
      </w:r>
      <w:r w:rsidRPr="000121B9">
        <w:rPr>
          <w:rStyle w:val="sb8d990e2"/>
          <w:lang w:val="fr-FR"/>
        </w:rPr>
        <w:fldChar w:fldCharType="end"/>
      </w:r>
      <w:r w:rsidRPr="000121B9">
        <w:rPr>
          <w:rStyle w:val="sb8d990e2"/>
          <w:lang w:val="fr-FR"/>
        </w:rPr>
        <w:t>.  </w:t>
      </w:r>
      <w:r w:rsidR="005E4EA2" w:rsidRPr="000121B9">
        <w:rPr>
          <w:rStyle w:val="sb8d990e2"/>
          <w:lang w:val="fr-FR"/>
        </w:rPr>
        <w:t>Le rapport du</w:t>
      </w:r>
      <w:r w:rsidR="007F3F54">
        <w:rPr>
          <w:rStyle w:val="sb8d990e2"/>
          <w:lang w:val="fr-FR"/>
        </w:rPr>
        <w:t xml:space="preserve"> </w:t>
      </w:r>
      <w:r w:rsidR="0038537C" w:rsidRPr="000121B9">
        <w:rPr>
          <w:rStyle w:val="sb8d990e2"/>
          <w:lang w:val="fr-FR"/>
        </w:rPr>
        <w:t xml:space="preserve">CPT au Gouvernement italien sur la </w:t>
      </w:r>
      <w:r w:rsidR="0038537C" w:rsidRPr="000121B9">
        <w:rPr>
          <w:rStyle w:val="wordhighlighted"/>
          <w:lang w:val="fr-FR"/>
        </w:rPr>
        <w:t>visite</w:t>
      </w:r>
      <w:r w:rsidR="0038537C" w:rsidRPr="000121B9">
        <w:rPr>
          <w:rStyle w:val="sb8d990e2"/>
          <w:lang w:val="fr-FR"/>
        </w:rPr>
        <w:t xml:space="preserve"> qu</w:t>
      </w:r>
      <w:r w:rsidR="00603708">
        <w:rPr>
          <w:rStyle w:val="sb8d990e2"/>
          <w:lang w:val="fr-FR"/>
        </w:rPr>
        <w:t>’</w:t>
      </w:r>
      <w:r w:rsidR="0038537C" w:rsidRPr="000121B9">
        <w:rPr>
          <w:rStyle w:val="sb8d990e2"/>
          <w:lang w:val="fr-FR"/>
        </w:rPr>
        <w:t>il a effectuée en Italie du 14 au 26 septembre 2008 (</w:t>
      </w:r>
      <w:r w:rsidR="0038537C" w:rsidRPr="000121B9">
        <w:rPr>
          <w:lang w:val="fr-FR"/>
        </w:rPr>
        <w:t>CPT/Inf (2010) 12</w:t>
      </w:r>
      <w:r w:rsidR="0038537C" w:rsidRPr="000121B9">
        <w:rPr>
          <w:rStyle w:val="sb8d990e2"/>
          <w:lang w:val="fr-FR"/>
        </w:rPr>
        <w:t xml:space="preserve"> du 20</w:t>
      </w:r>
      <w:r w:rsidR="0008093D">
        <w:rPr>
          <w:rStyle w:val="sb8d990e2"/>
          <w:lang w:val="fr-FR"/>
        </w:rPr>
        <w:t> </w:t>
      </w:r>
      <w:r w:rsidR="0038537C" w:rsidRPr="000121B9">
        <w:rPr>
          <w:rStyle w:val="sb8d990e2"/>
          <w:lang w:val="fr-FR"/>
        </w:rPr>
        <w:t>avril 2010) se lit ainsi dans sa partie pertinente</w:t>
      </w:r>
      <w:r w:rsidR="007F3F54">
        <w:rPr>
          <w:rStyle w:val="sb8d990e2"/>
          <w:lang w:val="fr-FR"/>
        </w:rPr>
        <w:t xml:space="preserve"> </w:t>
      </w:r>
      <w:r w:rsidR="005A2C5C">
        <w:rPr>
          <w:rStyle w:val="sb8d990e2"/>
          <w:lang w:val="fr-FR"/>
        </w:rPr>
        <w:t>en l</w:t>
      </w:r>
      <w:r w:rsidR="00603708">
        <w:rPr>
          <w:rStyle w:val="sb8d990e2"/>
          <w:lang w:val="fr-FR"/>
        </w:rPr>
        <w:t>’</w:t>
      </w:r>
      <w:r w:rsidR="005A2C5C">
        <w:rPr>
          <w:rStyle w:val="sb8d990e2"/>
          <w:lang w:val="fr-FR"/>
        </w:rPr>
        <w:t>espèce</w:t>
      </w:r>
      <w:r w:rsidR="0038537C" w:rsidRPr="000121B9">
        <w:rPr>
          <w:rStyle w:val="sb8d990e2"/>
          <w:lang w:val="fr-FR"/>
        </w:rPr>
        <w:t> :</w:t>
      </w:r>
    </w:p>
    <w:p w:rsidR="00603708" w:rsidRDefault="00E77A95" w:rsidP="00365292">
      <w:pPr>
        <w:spacing w:before="120" w:after="120"/>
        <w:ind w:left="425" w:firstLine="142"/>
        <w:rPr>
          <w:rFonts w:eastAsia="Times New Roman" w:cstheme="minorHAnsi"/>
          <w:sz w:val="20"/>
          <w:szCs w:val="20"/>
          <w:lang w:val="fr-FR"/>
        </w:rPr>
      </w:pPr>
      <w:r w:rsidRPr="000B5793">
        <w:rPr>
          <w:rFonts w:eastAsia="Times New Roman" w:cstheme="minorHAnsi"/>
          <w:sz w:val="20"/>
          <w:szCs w:val="20"/>
          <w:lang w:val="fr-FR"/>
        </w:rPr>
        <w:t>« </w:t>
      </w:r>
      <w:r w:rsidR="00365292" w:rsidRPr="000B5793">
        <w:rPr>
          <w:rFonts w:eastAsia="Times New Roman" w:cstheme="minorHAnsi"/>
          <w:sz w:val="20"/>
          <w:szCs w:val="20"/>
          <w:lang w:val="fr-FR"/>
        </w:rPr>
        <w:t>11.</w:t>
      </w:r>
      <w:r w:rsidRPr="000B5793">
        <w:rPr>
          <w:rFonts w:eastAsia="Times New Roman" w:cstheme="minorHAnsi"/>
          <w:sz w:val="20"/>
          <w:szCs w:val="20"/>
          <w:lang w:val="fr-FR"/>
        </w:rPr>
        <w:t>  </w:t>
      </w:r>
      <w:r w:rsidR="00365292" w:rsidRPr="000B5793">
        <w:rPr>
          <w:rFonts w:eastAsia="Times New Roman" w:cstheme="minorHAnsi"/>
          <w:sz w:val="20"/>
          <w:szCs w:val="20"/>
          <w:lang w:val="fr-FR"/>
        </w:rPr>
        <w:t>Depuis 2001, le CPT est engagé dans un dialogue avec les autorités italiennes en ce qui concerne les évènements qui se sont déroulés à Naples (le 17 mars 2001) et à Gênes (du 20 au 22 juillet 2001).</w:t>
      </w:r>
    </w:p>
    <w:p w:rsidR="00365292" w:rsidRPr="000B5793" w:rsidRDefault="00365292" w:rsidP="00365292">
      <w:pPr>
        <w:spacing w:before="120" w:after="120"/>
        <w:ind w:left="425" w:firstLine="142"/>
        <w:rPr>
          <w:rFonts w:eastAsia="Times New Roman" w:cstheme="minorHAnsi"/>
          <w:sz w:val="20"/>
          <w:szCs w:val="20"/>
          <w:lang w:val="fr-FR"/>
        </w:rPr>
      </w:pPr>
      <w:r w:rsidRPr="000B5793">
        <w:rPr>
          <w:rFonts w:eastAsia="Times New Roman" w:cstheme="minorHAnsi"/>
          <w:sz w:val="20"/>
          <w:szCs w:val="20"/>
          <w:lang w:val="fr-FR"/>
        </w:rPr>
        <w:t>Le Comité a pris note des informations fournies par les autorités italiennes lors de la visite s</w:t>
      </w:r>
      <w:r w:rsidR="00603708">
        <w:rPr>
          <w:rFonts w:eastAsia="Times New Roman" w:cstheme="minorHAnsi"/>
          <w:sz w:val="20"/>
          <w:szCs w:val="20"/>
          <w:lang w:val="fr-FR"/>
        </w:rPr>
        <w:t>’</w:t>
      </w:r>
      <w:r w:rsidRPr="000B5793">
        <w:rPr>
          <w:rFonts w:eastAsia="Times New Roman" w:cstheme="minorHAnsi"/>
          <w:sz w:val="20"/>
          <w:szCs w:val="20"/>
          <w:lang w:val="fr-FR"/>
        </w:rPr>
        <w:t>agissant des procédures judiciaires en cours relatives aux évènements susmentionnés</w:t>
      </w:r>
      <w:r w:rsidR="00F11C0E" w:rsidRPr="000B5793">
        <w:rPr>
          <w:rFonts w:eastAsia="Times New Roman" w:cstheme="minorHAnsi"/>
          <w:sz w:val="20"/>
          <w:szCs w:val="20"/>
          <w:lang w:val="fr-FR"/>
        </w:rPr>
        <w:t> ;</w:t>
      </w:r>
      <w:r w:rsidRPr="000B5793">
        <w:rPr>
          <w:rFonts w:eastAsia="Times New Roman" w:cstheme="minorHAnsi"/>
          <w:sz w:val="20"/>
          <w:szCs w:val="20"/>
          <w:lang w:val="fr-FR"/>
        </w:rPr>
        <w:t xml:space="preserve"> il souhaite être informé, en temps utile, des résultats des procédures en question.</w:t>
      </w:r>
    </w:p>
    <w:p w:rsidR="00365292" w:rsidRPr="000B5793" w:rsidRDefault="00365292" w:rsidP="00365292">
      <w:pPr>
        <w:spacing w:before="120" w:after="120"/>
        <w:ind w:left="425" w:firstLine="142"/>
        <w:rPr>
          <w:rFonts w:eastAsia="Times New Roman" w:cstheme="minorHAnsi"/>
          <w:sz w:val="20"/>
          <w:szCs w:val="20"/>
          <w:lang w:val="fr-FR"/>
        </w:rPr>
      </w:pPr>
      <w:r w:rsidRPr="000B5793">
        <w:rPr>
          <w:rFonts w:eastAsia="Times New Roman" w:cstheme="minorHAnsi"/>
          <w:sz w:val="20"/>
          <w:szCs w:val="20"/>
          <w:lang w:val="fr-FR"/>
        </w:rPr>
        <w:t>12.</w:t>
      </w:r>
      <w:r w:rsidR="00E77A95" w:rsidRPr="000B5793">
        <w:rPr>
          <w:rFonts w:eastAsia="Times New Roman" w:cstheme="minorHAnsi"/>
          <w:sz w:val="20"/>
          <w:szCs w:val="20"/>
          <w:lang w:val="fr-FR"/>
        </w:rPr>
        <w:t>  </w:t>
      </w:r>
      <w:r w:rsidRPr="000B5793">
        <w:rPr>
          <w:rFonts w:eastAsia="Times New Roman" w:cstheme="minorHAnsi"/>
          <w:sz w:val="20"/>
          <w:szCs w:val="20"/>
          <w:lang w:val="fr-FR"/>
        </w:rPr>
        <w:t>S</w:t>
      </w:r>
      <w:r w:rsidR="00603708">
        <w:rPr>
          <w:rFonts w:eastAsia="Times New Roman" w:cstheme="minorHAnsi"/>
          <w:sz w:val="20"/>
          <w:szCs w:val="20"/>
          <w:lang w:val="fr-FR"/>
        </w:rPr>
        <w:t>’</w:t>
      </w:r>
      <w:r w:rsidRPr="000B5793">
        <w:rPr>
          <w:rFonts w:eastAsia="Times New Roman" w:cstheme="minorHAnsi"/>
          <w:sz w:val="20"/>
          <w:szCs w:val="20"/>
          <w:lang w:val="fr-FR"/>
        </w:rPr>
        <w:t xml:space="preserve">agissant de la mise en œuvre du projet de longue date </w:t>
      </w:r>
      <w:r w:rsidR="00F11C0E" w:rsidRPr="000B5793">
        <w:rPr>
          <w:rFonts w:eastAsia="Times New Roman" w:cstheme="minorHAnsi"/>
          <w:sz w:val="20"/>
          <w:szCs w:val="20"/>
          <w:lang w:val="fr-FR"/>
        </w:rPr>
        <w:t>visant à l</w:t>
      </w:r>
      <w:r w:rsidR="00603708">
        <w:rPr>
          <w:rFonts w:eastAsia="Times New Roman" w:cstheme="minorHAnsi"/>
          <w:sz w:val="20"/>
          <w:szCs w:val="20"/>
          <w:lang w:val="fr-FR"/>
        </w:rPr>
        <w:t>’</w:t>
      </w:r>
      <w:r w:rsidRPr="000B5793">
        <w:rPr>
          <w:rFonts w:eastAsia="Times New Roman" w:cstheme="minorHAnsi"/>
          <w:sz w:val="20"/>
          <w:szCs w:val="20"/>
          <w:lang w:val="fr-FR"/>
        </w:rPr>
        <w:t>introdu</w:t>
      </w:r>
      <w:r w:rsidR="00F11C0E" w:rsidRPr="000B5793">
        <w:rPr>
          <w:rFonts w:eastAsia="Times New Roman" w:cstheme="minorHAnsi"/>
          <w:sz w:val="20"/>
          <w:szCs w:val="20"/>
          <w:lang w:val="fr-FR"/>
        </w:rPr>
        <w:t>ction du</w:t>
      </w:r>
      <w:r w:rsidRPr="000B5793">
        <w:rPr>
          <w:rFonts w:eastAsia="Times New Roman" w:cstheme="minorHAnsi"/>
          <w:sz w:val="20"/>
          <w:szCs w:val="20"/>
          <w:lang w:val="fr-FR"/>
        </w:rPr>
        <w:t xml:space="preserve"> crime de torture dans le </w:t>
      </w:r>
      <w:r w:rsidR="00F11C0E" w:rsidRPr="000B5793">
        <w:rPr>
          <w:rFonts w:eastAsia="Times New Roman" w:cstheme="minorHAnsi"/>
          <w:sz w:val="20"/>
          <w:szCs w:val="20"/>
          <w:lang w:val="fr-FR"/>
        </w:rPr>
        <w:t>c</w:t>
      </w:r>
      <w:r w:rsidRPr="000B5793">
        <w:rPr>
          <w:rFonts w:eastAsia="Times New Roman" w:cstheme="minorHAnsi"/>
          <w:sz w:val="20"/>
          <w:szCs w:val="20"/>
          <w:lang w:val="fr-FR"/>
        </w:rPr>
        <w:t xml:space="preserve">ode </w:t>
      </w:r>
      <w:r w:rsidR="00F11C0E" w:rsidRPr="000B5793">
        <w:rPr>
          <w:rFonts w:eastAsia="Times New Roman" w:cstheme="minorHAnsi"/>
          <w:sz w:val="20"/>
          <w:szCs w:val="20"/>
          <w:lang w:val="fr-FR"/>
        </w:rPr>
        <w:t>p</w:t>
      </w:r>
      <w:r w:rsidRPr="000B5793">
        <w:rPr>
          <w:rFonts w:eastAsia="Times New Roman" w:cstheme="minorHAnsi"/>
          <w:sz w:val="20"/>
          <w:szCs w:val="20"/>
          <w:lang w:val="fr-FR"/>
        </w:rPr>
        <w:t>énal, le CPT a noté que seuls de</w:t>
      </w:r>
      <w:r w:rsidR="00F11C0E" w:rsidRPr="000B5793">
        <w:rPr>
          <w:rFonts w:eastAsia="Times New Roman" w:cstheme="minorHAnsi"/>
          <w:sz w:val="20"/>
          <w:szCs w:val="20"/>
          <w:lang w:val="fr-FR"/>
        </w:rPr>
        <w:t>s</w:t>
      </w:r>
      <w:r w:rsidRPr="000B5793">
        <w:rPr>
          <w:rFonts w:eastAsia="Times New Roman" w:cstheme="minorHAnsi"/>
          <w:sz w:val="20"/>
          <w:szCs w:val="20"/>
          <w:lang w:val="fr-FR"/>
        </w:rPr>
        <w:t xml:space="preserve"> progrès </w:t>
      </w:r>
      <w:r w:rsidR="00F11C0E" w:rsidRPr="000B5793">
        <w:rPr>
          <w:rFonts w:eastAsia="Times New Roman" w:cstheme="minorHAnsi"/>
          <w:sz w:val="20"/>
          <w:szCs w:val="20"/>
          <w:lang w:val="fr-FR"/>
        </w:rPr>
        <w:t xml:space="preserve">minimes </w:t>
      </w:r>
      <w:r w:rsidRPr="000B5793">
        <w:rPr>
          <w:rFonts w:eastAsia="Times New Roman" w:cstheme="minorHAnsi"/>
          <w:sz w:val="20"/>
          <w:szCs w:val="20"/>
          <w:lang w:val="fr-FR"/>
        </w:rPr>
        <w:t>avaient été faits depuis la visite de 2004. Le Comité encourage les autorités italiennes à redoubler d</w:t>
      </w:r>
      <w:r w:rsidR="00603708">
        <w:rPr>
          <w:rFonts w:eastAsia="Times New Roman" w:cstheme="minorHAnsi"/>
          <w:sz w:val="20"/>
          <w:szCs w:val="20"/>
          <w:lang w:val="fr-FR"/>
        </w:rPr>
        <w:t>’</w:t>
      </w:r>
      <w:r w:rsidRPr="000B5793">
        <w:rPr>
          <w:rFonts w:eastAsia="Times New Roman" w:cstheme="minorHAnsi"/>
          <w:sz w:val="20"/>
          <w:szCs w:val="20"/>
          <w:lang w:val="fr-FR"/>
        </w:rPr>
        <w:t>efforts afin d</w:t>
      </w:r>
      <w:r w:rsidR="00603708">
        <w:rPr>
          <w:rFonts w:eastAsia="Times New Roman" w:cstheme="minorHAnsi"/>
          <w:sz w:val="20"/>
          <w:szCs w:val="20"/>
          <w:lang w:val="fr-FR"/>
        </w:rPr>
        <w:t>’</w:t>
      </w:r>
      <w:r w:rsidRPr="000B5793">
        <w:rPr>
          <w:rFonts w:eastAsia="Times New Roman" w:cstheme="minorHAnsi"/>
          <w:sz w:val="20"/>
          <w:szCs w:val="20"/>
          <w:lang w:val="fr-FR"/>
        </w:rPr>
        <w:t>introduire, aussi rapidement que possible, l</w:t>
      </w:r>
      <w:r w:rsidR="00603708">
        <w:rPr>
          <w:rFonts w:eastAsia="Times New Roman" w:cstheme="minorHAnsi"/>
          <w:sz w:val="20"/>
          <w:szCs w:val="20"/>
          <w:lang w:val="fr-FR"/>
        </w:rPr>
        <w:t>’</w:t>
      </w:r>
      <w:r w:rsidRPr="000B5793">
        <w:rPr>
          <w:rFonts w:eastAsia="Times New Roman" w:cstheme="minorHAnsi"/>
          <w:sz w:val="20"/>
          <w:szCs w:val="20"/>
          <w:lang w:val="fr-FR"/>
        </w:rPr>
        <w:t xml:space="preserve">incrimination de torture dans le </w:t>
      </w:r>
      <w:r w:rsidR="00F11C0E" w:rsidRPr="000B5793">
        <w:rPr>
          <w:rFonts w:eastAsia="Times New Roman" w:cstheme="minorHAnsi"/>
          <w:sz w:val="20"/>
          <w:szCs w:val="20"/>
          <w:lang w:val="fr-FR"/>
        </w:rPr>
        <w:t>c</w:t>
      </w:r>
      <w:r w:rsidRPr="000B5793">
        <w:rPr>
          <w:rFonts w:eastAsia="Times New Roman" w:cstheme="minorHAnsi"/>
          <w:sz w:val="20"/>
          <w:szCs w:val="20"/>
          <w:lang w:val="fr-FR"/>
        </w:rPr>
        <w:t xml:space="preserve">ode </w:t>
      </w:r>
      <w:r w:rsidR="00F11C0E" w:rsidRPr="000B5793">
        <w:rPr>
          <w:rFonts w:eastAsia="Times New Roman" w:cstheme="minorHAnsi"/>
          <w:sz w:val="20"/>
          <w:szCs w:val="20"/>
          <w:lang w:val="fr-FR"/>
        </w:rPr>
        <w:t>p</w:t>
      </w:r>
      <w:r w:rsidRPr="000B5793">
        <w:rPr>
          <w:rFonts w:eastAsia="Times New Roman" w:cstheme="minorHAnsi"/>
          <w:sz w:val="20"/>
          <w:szCs w:val="20"/>
          <w:lang w:val="fr-FR"/>
        </w:rPr>
        <w:t>énal, conformément aux obligations internationales de l</w:t>
      </w:r>
      <w:r w:rsidR="00603708">
        <w:rPr>
          <w:rFonts w:eastAsia="Times New Roman" w:cstheme="minorHAnsi"/>
          <w:sz w:val="20"/>
          <w:szCs w:val="20"/>
          <w:lang w:val="fr-FR"/>
        </w:rPr>
        <w:t>’</w:t>
      </w:r>
      <w:r w:rsidRPr="000B5793">
        <w:rPr>
          <w:rFonts w:eastAsia="Times New Roman" w:cstheme="minorHAnsi"/>
          <w:sz w:val="20"/>
          <w:szCs w:val="20"/>
          <w:lang w:val="fr-FR"/>
        </w:rPr>
        <w:t>Italie.</w:t>
      </w:r>
      <w:r w:rsidR="00E77A95" w:rsidRPr="000B5793">
        <w:rPr>
          <w:rFonts w:eastAsia="Times New Roman" w:cstheme="minorHAnsi"/>
          <w:sz w:val="20"/>
          <w:szCs w:val="20"/>
          <w:lang w:val="fr-FR"/>
        </w:rPr>
        <w:t> »</w:t>
      </w:r>
    </w:p>
    <w:p w:rsidR="0032468C" w:rsidRPr="000121B9" w:rsidRDefault="007C7CDD" w:rsidP="007C7CDD">
      <w:pPr>
        <w:pStyle w:val="ECHRPara"/>
        <w:rPr>
          <w:rStyle w:val="sb8d990e2"/>
          <w:lang w:val="fr-FR"/>
        </w:rPr>
      </w:pPr>
      <w:r w:rsidRPr="000121B9">
        <w:rPr>
          <w:rStyle w:val="sb8d990e2"/>
        </w:rPr>
        <w:fldChar w:fldCharType="begin"/>
      </w:r>
      <w:r w:rsidRPr="000121B9">
        <w:rPr>
          <w:rStyle w:val="sb8d990e2"/>
          <w:lang w:val="fr-FR"/>
        </w:rPr>
        <w:instrText xml:space="preserve"> SEQ level0 \*arabic </w:instrText>
      </w:r>
      <w:r w:rsidRPr="000121B9">
        <w:rPr>
          <w:rStyle w:val="sb8d990e2"/>
        </w:rPr>
        <w:fldChar w:fldCharType="separate"/>
      </w:r>
      <w:r w:rsidR="00B378F9">
        <w:rPr>
          <w:rStyle w:val="sb8d990e2"/>
          <w:noProof/>
          <w:lang w:val="fr-FR"/>
        </w:rPr>
        <w:t>119</w:t>
      </w:r>
      <w:r w:rsidRPr="000121B9">
        <w:rPr>
          <w:rStyle w:val="sb8d990e2"/>
        </w:rPr>
        <w:fldChar w:fldCharType="end"/>
      </w:r>
      <w:r w:rsidR="004057DB" w:rsidRPr="000121B9">
        <w:rPr>
          <w:rStyle w:val="sb8d990e2"/>
          <w:lang w:val="fr-FR"/>
        </w:rPr>
        <w:t>.  L</w:t>
      </w:r>
      <w:r w:rsidR="00063F1E" w:rsidRPr="000121B9">
        <w:rPr>
          <w:rStyle w:val="sb8d990e2"/>
          <w:lang w:val="fr-FR"/>
        </w:rPr>
        <w:t>a</w:t>
      </w:r>
      <w:r w:rsidRPr="000121B9">
        <w:rPr>
          <w:rStyle w:val="sb8d990e2"/>
          <w:lang w:val="fr-FR"/>
        </w:rPr>
        <w:t xml:space="preserve"> réponse </w:t>
      </w:r>
      <w:r w:rsidR="00063F1E" w:rsidRPr="000121B9">
        <w:rPr>
          <w:rStyle w:val="sb8d990e2"/>
          <w:lang w:val="fr-FR"/>
        </w:rPr>
        <w:t xml:space="preserve">publiée à la demande du </w:t>
      </w:r>
      <w:r w:rsidR="00BD25CE">
        <w:rPr>
          <w:rStyle w:val="sb8d990e2"/>
          <w:lang w:val="fr-FR"/>
        </w:rPr>
        <w:t>g</w:t>
      </w:r>
      <w:r w:rsidR="00063F1E" w:rsidRPr="000121B9">
        <w:rPr>
          <w:rStyle w:val="sb8d990e2"/>
          <w:lang w:val="fr-FR"/>
        </w:rPr>
        <w:t xml:space="preserve">ouvernement italien </w:t>
      </w:r>
      <w:r w:rsidRPr="000121B9">
        <w:rPr>
          <w:rStyle w:val="sb8d990e2"/>
          <w:lang w:val="fr-FR"/>
        </w:rPr>
        <w:t>(</w:t>
      </w:r>
      <w:r w:rsidRPr="000121B9">
        <w:rPr>
          <w:lang w:val="fr-FR"/>
        </w:rPr>
        <w:t xml:space="preserve">CPT/Inf (2010) 13 du 20 April 2010) </w:t>
      </w:r>
      <w:r w:rsidR="005A2C5C">
        <w:rPr>
          <w:lang w:val="fr-FR"/>
        </w:rPr>
        <w:t>se lit</w:t>
      </w:r>
      <w:r w:rsidR="004057DB" w:rsidRPr="000121B9">
        <w:rPr>
          <w:lang w:val="fr-FR"/>
        </w:rPr>
        <w:t xml:space="preserve"> comme suit</w:t>
      </w:r>
      <w:r w:rsidR="005A2C5C">
        <w:rPr>
          <w:lang w:val="fr-FR"/>
        </w:rPr>
        <w:t> </w:t>
      </w:r>
      <w:r w:rsidRPr="000121B9">
        <w:rPr>
          <w:lang w:val="fr-FR"/>
        </w:rPr>
        <w:t>:</w:t>
      </w:r>
    </w:p>
    <w:p w:rsidR="0032468C" w:rsidRPr="000121B9" w:rsidRDefault="007C7CDD" w:rsidP="007C7CDD">
      <w:pPr>
        <w:pStyle w:val="ECHRParaQuote"/>
      </w:pPr>
      <w:r w:rsidRPr="000121B9">
        <w:rPr>
          <w:rStyle w:val="sb8d990e2"/>
        </w:rPr>
        <w:t xml:space="preserve">« </w:t>
      </w:r>
      <w:r w:rsidRPr="000121B9">
        <w:t>20.</w:t>
      </w:r>
      <w:r w:rsidR="005A2C5C">
        <w:t>  </w:t>
      </w:r>
      <w:r w:rsidRPr="000121B9">
        <w:t>As to the criminal code, it is worth recalling Article 606 and other provisions, contained in the same section of the criminal code, safeguard the individual against illegal arrest, as undue restriction of personal liberty, abuse of office against detainees and prisoners, illegal inspections and personal searches.</w:t>
      </w:r>
    </w:p>
    <w:p w:rsidR="0032468C" w:rsidRPr="000121B9" w:rsidRDefault="007C7CDD">
      <w:pPr>
        <w:pStyle w:val="ECHRParaQuote"/>
      </w:pPr>
      <w:r w:rsidRPr="000121B9">
        <w:t>21.</w:t>
      </w:r>
      <w:r w:rsidR="005A2C5C">
        <w:t>  </w:t>
      </w:r>
      <w:r w:rsidRPr="000121B9">
        <w:t xml:space="preserve">These safeguards are supplemented by provisions under Article 581 (battery), Article 582 (bodily injury), Article 610 (duress, in cases where violence or threat being not considered as a different crime) and Article 612 (threat) of the criminal code. Even more so, the provisions under Article 575 (homicide) and Article 605 (kidnapping), to which general aggravating circumstances apply, regarding brutality and cruelty against individuals </w:t>
      </w:r>
      <w:r w:rsidRPr="006F6EAE">
        <w:t>and</w:t>
      </w:r>
      <w:r w:rsidRPr="000121B9">
        <w:t xml:space="preserve"> the fact of having committed these crimes by abusing of power and violating the duties of a public office or public service, respectively (Article 61, paragraph 1, number 4 and 9 of the criminal code).</w:t>
      </w:r>
      <w:r w:rsidR="00063F1E" w:rsidRPr="000121B9">
        <w:t xml:space="preserve"> »</w:t>
      </w:r>
    </w:p>
    <w:p w:rsidR="0013454F" w:rsidRPr="000121B9" w:rsidRDefault="0038537C" w:rsidP="00304757">
      <w:pPr>
        <w:pStyle w:val="ECHRPara"/>
        <w:rPr>
          <w:rStyle w:val="sb8d990e2"/>
          <w:lang w:val="fr-FR"/>
        </w:rPr>
      </w:pPr>
      <w:r w:rsidRPr="000121B9">
        <w:rPr>
          <w:rStyle w:val="sb8d990e2"/>
          <w:lang w:val="fr-FR"/>
        </w:rPr>
        <w:fldChar w:fldCharType="begin"/>
      </w:r>
      <w:r w:rsidRPr="000121B9">
        <w:rPr>
          <w:rStyle w:val="sb8d990e2"/>
          <w:lang w:val="fr-FR"/>
        </w:rPr>
        <w:instrText xml:space="preserve"> SEQ level0 \*arabic </w:instrText>
      </w:r>
      <w:r w:rsidRPr="000121B9">
        <w:rPr>
          <w:rStyle w:val="sb8d990e2"/>
          <w:lang w:val="fr-FR"/>
        </w:rPr>
        <w:fldChar w:fldCharType="separate"/>
      </w:r>
      <w:r w:rsidR="00B378F9">
        <w:rPr>
          <w:rStyle w:val="sb8d990e2"/>
          <w:noProof/>
          <w:lang w:val="fr-FR"/>
        </w:rPr>
        <w:t>120</w:t>
      </w:r>
      <w:r w:rsidRPr="000121B9">
        <w:rPr>
          <w:rStyle w:val="sb8d990e2"/>
          <w:lang w:val="fr-FR"/>
        </w:rPr>
        <w:fldChar w:fldCharType="end"/>
      </w:r>
      <w:r w:rsidRPr="000121B9">
        <w:rPr>
          <w:rStyle w:val="sb8d990e2"/>
          <w:lang w:val="fr-FR"/>
        </w:rPr>
        <w:t>.  </w:t>
      </w:r>
      <w:r w:rsidR="00FB36BD" w:rsidRPr="000121B9">
        <w:rPr>
          <w:rStyle w:val="sb8d990e2"/>
          <w:lang w:val="fr-FR"/>
        </w:rPr>
        <w:t>Le</w:t>
      </w:r>
      <w:r w:rsidR="00683BA9" w:rsidRPr="000121B9">
        <w:rPr>
          <w:rStyle w:val="sb8d990e2"/>
          <w:lang w:val="fr-FR"/>
        </w:rPr>
        <w:t xml:space="preserve"> rapport </w:t>
      </w:r>
      <w:r w:rsidR="00FB36BD" w:rsidRPr="000121B9">
        <w:rPr>
          <w:rStyle w:val="sb8d990e2"/>
          <w:lang w:val="fr-FR"/>
        </w:rPr>
        <w:t>du</w:t>
      </w:r>
      <w:r w:rsidRPr="000121B9">
        <w:rPr>
          <w:rStyle w:val="sb8d990e2"/>
          <w:lang w:val="fr-FR"/>
        </w:rPr>
        <w:t xml:space="preserve"> CPT</w:t>
      </w:r>
      <w:r w:rsidR="00FB36BD" w:rsidRPr="000121B9">
        <w:rPr>
          <w:rStyle w:val="sb8d990e2"/>
          <w:lang w:val="fr-FR"/>
        </w:rPr>
        <w:t xml:space="preserve"> </w:t>
      </w:r>
      <w:r w:rsidR="00683BA9" w:rsidRPr="000121B9">
        <w:rPr>
          <w:rStyle w:val="sb8d990e2"/>
          <w:lang w:val="fr-FR"/>
        </w:rPr>
        <w:t xml:space="preserve">au </w:t>
      </w:r>
      <w:r w:rsidR="00BD25CE">
        <w:rPr>
          <w:rStyle w:val="sb8d990e2"/>
          <w:lang w:val="fr-FR"/>
        </w:rPr>
        <w:t>g</w:t>
      </w:r>
      <w:r w:rsidR="005E0E94" w:rsidRPr="000121B9">
        <w:rPr>
          <w:rStyle w:val="sb8d990e2"/>
          <w:lang w:val="fr-FR"/>
        </w:rPr>
        <w:t>ouvernement</w:t>
      </w:r>
      <w:r w:rsidR="00683BA9" w:rsidRPr="000121B9">
        <w:rPr>
          <w:rStyle w:val="sb8d990e2"/>
          <w:lang w:val="fr-FR"/>
        </w:rPr>
        <w:t xml:space="preserve"> italien sur la </w:t>
      </w:r>
      <w:r w:rsidR="00683BA9" w:rsidRPr="000121B9">
        <w:rPr>
          <w:rStyle w:val="wordhighlighted"/>
          <w:lang w:val="fr-FR"/>
        </w:rPr>
        <w:t>visite</w:t>
      </w:r>
      <w:r w:rsidR="00683BA9" w:rsidRPr="000121B9">
        <w:rPr>
          <w:rStyle w:val="sb8d990e2"/>
          <w:lang w:val="fr-FR"/>
        </w:rPr>
        <w:t xml:space="preserve"> qu</w:t>
      </w:r>
      <w:r w:rsidR="00603708">
        <w:rPr>
          <w:rStyle w:val="sb8d990e2"/>
          <w:lang w:val="fr-FR"/>
        </w:rPr>
        <w:t>’</w:t>
      </w:r>
      <w:r w:rsidR="00683BA9" w:rsidRPr="000121B9">
        <w:rPr>
          <w:rStyle w:val="sb8d990e2"/>
          <w:lang w:val="fr-FR"/>
        </w:rPr>
        <w:t>il a effectuée en Italie du 13 au 25 mai 2012 (</w:t>
      </w:r>
      <w:r w:rsidR="0013454F" w:rsidRPr="000121B9">
        <w:rPr>
          <w:lang w:val="fr-FR"/>
        </w:rPr>
        <w:t>CPT/Inf (2013) 32 du 19</w:t>
      </w:r>
      <w:r w:rsidR="00127363">
        <w:rPr>
          <w:lang w:val="fr-FR"/>
        </w:rPr>
        <w:t> </w:t>
      </w:r>
      <w:r w:rsidR="0013454F" w:rsidRPr="000121B9">
        <w:rPr>
          <w:lang w:val="fr-FR"/>
        </w:rPr>
        <w:t>novembre 2013</w:t>
      </w:r>
      <w:r w:rsidR="00FB36BD" w:rsidRPr="000121B9">
        <w:rPr>
          <w:rStyle w:val="sb8d990e2"/>
          <w:lang w:val="fr-FR"/>
        </w:rPr>
        <w:t>) se lit ainsi dans sa partie pertinente</w:t>
      </w:r>
      <w:r w:rsidR="005A2C5C">
        <w:rPr>
          <w:rStyle w:val="sb8d990e2"/>
          <w:lang w:val="fr-FR"/>
        </w:rPr>
        <w:t xml:space="preserve"> en l</w:t>
      </w:r>
      <w:r w:rsidR="00603708">
        <w:rPr>
          <w:rStyle w:val="sb8d990e2"/>
          <w:lang w:val="fr-FR"/>
        </w:rPr>
        <w:t>’</w:t>
      </w:r>
      <w:r w:rsidR="005A2C5C">
        <w:rPr>
          <w:rStyle w:val="sb8d990e2"/>
          <w:lang w:val="fr-FR"/>
        </w:rPr>
        <w:t>espèce</w:t>
      </w:r>
      <w:r w:rsidR="00BD25CE">
        <w:rPr>
          <w:rStyle w:val="sb8d990e2"/>
          <w:lang w:val="fr-FR"/>
        </w:rPr>
        <w:t> :</w:t>
      </w:r>
    </w:p>
    <w:p w:rsidR="00336D67" w:rsidRPr="000B5793" w:rsidRDefault="006F6EAE" w:rsidP="000B5793">
      <w:pPr>
        <w:pStyle w:val="ECHRParaQuote"/>
        <w:rPr>
          <w:rFonts w:ascii="Times New Roman" w:eastAsia="Times New Roman" w:hAnsi="Times New Roman" w:cs="Times New Roman"/>
          <w:lang w:val="fr-FR"/>
        </w:rPr>
      </w:pPr>
      <w:r w:rsidRPr="006F6EAE">
        <w:rPr>
          <w:rStyle w:val="sb8d990e2"/>
          <w:lang w:val="fr-FR"/>
        </w:rPr>
        <w:t>« </w:t>
      </w:r>
      <w:r w:rsidR="00336D67" w:rsidRPr="000B5793">
        <w:rPr>
          <w:rFonts w:ascii="Times New Roman" w:eastAsia="Times New Roman" w:hAnsi="Times New Roman" w:cs="Times New Roman"/>
          <w:lang w:val="fr-FR"/>
        </w:rPr>
        <w:t>Avant d</w:t>
      </w:r>
      <w:r w:rsidR="00603708">
        <w:rPr>
          <w:rFonts w:ascii="Times New Roman" w:eastAsia="Times New Roman" w:hAnsi="Times New Roman" w:cs="Times New Roman"/>
          <w:lang w:val="fr-FR"/>
        </w:rPr>
        <w:t>’</w:t>
      </w:r>
      <w:r w:rsidR="00336D67" w:rsidRPr="000B5793">
        <w:rPr>
          <w:rFonts w:ascii="Times New Roman" w:eastAsia="Times New Roman" w:hAnsi="Times New Roman" w:cs="Times New Roman"/>
          <w:lang w:val="fr-FR"/>
        </w:rPr>
        <w:t>exposer les conclusions de la délégation, le CPT constate avec préoccupation qu</w:t>
      </w:r>
      <w:r w:rsidR="00603708">
        <w:rPr>
          <w:rFonts w:ascii="Times New Roman" w:eastAsia="Times New Roman" w:hAnsi="Times New Roman" w:cs="Times New Roman"/>
          <w:lang w:val="fr-FR"/>
        </w:rPr>
        <w:t>’</w:t>
      </w:r>
      <w:r w:rsidR="00336D67" w:rsidRPr="000B5793">
        <w:rPr>
          <w:rFonts w:ascii="Times New Roman" w:eastAsia="Times New Roman" w:hAnsi="Times New Roman" w:cs="Times New Roman"/>
          <w:lang w:val="fr-FR"/>
        </w:rPr>
        <w:t xml:space="preserve">après plus de </w:t>
      </w:r>
      <w:r w:rsidR="00E2227B" w:rsidRPr="000B5793">
        <w:rPr>
          <w:rFonts w:ascii="Times New Roman" w:eastAsia="Times New Roman" w:hAnsi="Times New Roman" w:cs="Times New Roman"/>
          <w:lang w:val="fr-FR"/>
        </w:rPr>
        <w:t xml:space="preserve">vingt </w:t>
      </w:r>
      <w:r w:rsidR="00336D67" w:rsidRPr="000B5793">
        <w:rPr>
          <w:rFonts w:ascii="Times New Roman" w:eastAsia="Times New Roman" w:hAnsi="Times New Roman" w:cs="Times New Roman"/>
          <w:lang w:val="fr-FR"/>
        </w:rPr>
        <w:t xml:space="preserve">ans de discussions au </w:t>
      </w:r>
      <w:r w:rsidR="00E2227B" w:rsidRPr="000B5793">
        <w:rPr>
          <w:rFonts w:ascii="Times New Roman" w:eastAsia="Times New Roman" w:hAnsi="Times New Roman" w:cs="Times New Roman"/>
          <w:lang w:val="fr-FR"/>
        </w:rPr>
        <w:t>P</w:t>
      </w:r>
      <w:r w:rsidR="00336D67" w:rsidRPr="000B5793">
        <w:rPr>
          <w:rFonts w:ascii="Times New Roman" w:eastAsia="Times New Roman" w:hAnsi="Times New Roman" w:cs="Times New Roman"/>
          <w:lang w:val="fr-FR"/>
        </w:rPr>
        <w:t>arlement et l</w:t>
      </w:r>
      <w:r w:rsidR="00603708">
        <w:rPr>
          <w:rFonts w:ascii="Times New Roman" w:eastAsia="Times New Roman" w:hAnsi="Times New Roman" w:cs="Times New Roman"/>
          <w:lang w:val="fr-FR"/>
        </w:rPr>
        <w:t>’</w:t>
      </w:r>
      <w:r w:rsidR="00336D67" w:rsidRPr="000B5793">
        <w:rPr>
          <w:rFonts w:ascii="Times New Roman" w:eastAsia="Times New Roman" w:hAnsi="Times New Roman" w:cs="Times New Roman"/>
          <w:lang w:val="fr-FR"/>
        </w:rPr>
        <w:t>élaboration de neuf projets de loi</w:t>
      </w:r>
      <w:r w:rsidR="00E2227B" w:rsidRPr="000B5793">
        <w:rPr>
          <w:rFonts w:ascii="Times New Roman" w:eastAsia="Times New Roman" w:hAnsi="Times New Roman" w:cs="Times New Roman"/>
          <w:lang w:val="fr-FR"/>
        </w:rPr>
        <w:t>,</w:t>
      </w:r>
      <w:r w:rsidR="00336D67" w:rsidRPr="000B5793">
        <w:rPr>
          <w:rFonts w:ascii="Times New Roman" w:eastAsia="Times New Roman" w:hAnsi="Times New Roman" w:cs="Times New Roman"/>
          <w:lang w:val="fr-FR"/>
        </w:rPr>
        <w:t xml:space="preserve"> le </w:t>
      </w:r>
      <w:r w:rsidR="00E2227B" w:rsidRPr="000B5793">
        <w:rPr>
          <w:rFonts w:ascii="Times New Roman" w:eastAsia="Times New Roman" w:hAnsi="Times New Roman" w:cs="Times New Roman"/>
          <w:lang w:val="fr-FR"/>
        </w:rPr>
        <w:t>c</w:t>
      </w:r>
      <w:r w:rsidR="00336D67" w:rsidRPr="000B5793">
        <w:rPr>
          <w:rFonts w:ascii="Times New Roman" w:eastAsia="Times New Roman" w:hAnsi="Times New Roman" w:cs="Times New Roman"/>
          <w:lang w:val="fr-FR"/>
        </w:rPr>
        <w:t>ode pénal italien ne contient toujours pas de disposition sanctionnant expressément le crime de torture.</w:t>
      </w:r>
    </w:p>
    <w:p w:rsidR="00603708" w:rsidRDefault="00336D67" w:rsidP="000B5793">
      <w:pPr>
        <w:pStyle w:val="ECHRParaQuote"/>
        <w:rPr>
          <w:rFonts w:ascii="Times New Roman" w:eastAsia="Times New Roman" w:hAnsi="Times New Roman" w:cs="Times New Roman"/>
          <w:lang w:val="fr-FR"/>
        </w:rPr>
      </w:pPr>
      <w:r w:rsidRPr="000B5793">
        <w:rPr>
          <w:rFonts w:ascii="Times New Roman" w:eastAsia="Times New Roman" w:hAnsi="Times New Roman" w:cs="Times New Roman"/>
          <w:lang w:val="fr-FR"/>
        </w:rPr>
        <w:t xml:space="preserve">Le Comité prie instamment les autorités italiennes </w:t>
      </w:r>
      <w:r w:rsidR="00E2227B" w:rsidRPr="000B5793">
        <w:rPr>
          <w:rFonts w:ascii="Times New Roman" w:eastAsia="Times New Roman" w:hAnsi="Times New Roman" w:cs="Times New Roman"/>
          <w:lang w:val="fr-FR"/>
        </w:rPr>
        <w:t>de</w:t>
      </w:r>
      <w:r w:rsidRPr="000B5793">
        <w:rPr>
          <w:rFonts w:ascii="Times New Roman" w:eastAsia="Times New Roman" w:hAnsi="Times New Roman" w:cs="Times New Roman"/>
          <w:lang w:val="fr-FR"/>
        </w:rPr>
        <w:t xml:space="preserve"> redoubler d</w:t>
      </w:r>
      <w:r w:rsidR="00603708">
        <w:rPr>
          <w:rFonts w:ascii="Times New Roman" w:eastAsia="Times New Roman" w:hAnsi="Times New Roman" w:cs="Times New Roman"/>
          <w:lang w:val="fr-FR"/>
        </w:rPr>
        <w:t>’</w:t>
      </w:r>
      <w:r w:rsidRPr="000B5793">
        <w:rPr>
          <w:rFonts w:ascii="Times New Roman" w:eastAsia="Times New Roman" w:hAnsi="Times New Roman" w:cs="Times New Roman"/>
          <w:lang w:val="fr-FR"/>
        </w:rPr>
        <w:t xml:space="preserve">efforts pour introduire dans les plus brefs délais le crime de torture dans le </w:t>
      </w:r>
      <w:r w:rsidR="00E2227B" w:rsidRPr="000B5793">
        <w:rPr>
          <w:rFonts w:ascii="Times New Roman" w:eastAsia="Times New Roman" w:hAnsi="Times New Roman" w:cs="Times New Roman"/>
          <w:lang w:val="fr-FR"/>
        </w:rPr>
        <w:t>c</w:t>
      </w:r>
      <w:r w:rsidRPr="000B5793">
        <w:rPr>
          <w:rFonts w:ascii="Times New Roman" w:eastAsia="Times New Roman" w:hAnsi="Times New Roman" w:cs="Times New Roman"/>
          <w:lang w:val="fr-FR"/>
        </w:rPr>
        <w:t>ode pénal, conformément aux obligations internationales de longue date de l</w:t>
      </w:r>
      <w:r w:rsidR="00603708">
        <w:rPr>
          <w:rFonts w:ascii="Times New Roman" w:eastAsia="Times New Roman" w:hAnsi="Times New Roman" w:cs="Times New Roman"/>
          <w:lang w:val="fr-FR"/>
        </w:rPr>
        <w:t>’</w:t>
      </w:r>
      <w:r w:rsidRPr="000B5793">
        <w:rPr>
          <w:rFonts w:ascii="Times New Roman" w:eastAsia="Times New Roman" w:hAnsi="Times New Roman" w:cs="Times New Roman"/>
          <w:lang w:val="fr-FR"/>
        </w:rPr>
        <w:t xml:space="preserve">Italie. </w:t>
      </w:r>
      <w:r w:rsidR="00BD25CE" w:rsidRPr="000B5793">
        <w:rPr>
          <w:rFonts w:ascii="Times New Roman" w:eastAsia="Times New Roman" w:hAnsi="Times New Roman" w:cs="Times New Roman"/>
          <w:lang w:val="fr-FR"/>
        </w:rPr>
        <w:t>En outre, afin d</w:t>
      </w:r>
      <w:r w:rsidR="00603708">
        <w:rPr>
          <w:rFonts w:ascii="Times New Roman" w:eastAsia="Times New Roman" w:hAnsi="Times New Roman" w:cs="Times New Roman"/>
          <w:lang w:val="fr-FR"/>
        </w:rPr>
        <w:t>’</w:t>
      </w:r>
      <w:r w:rsidR="00BD25CE" w:rsidRPr="000B5793">
        <w:rPr>
          <w:rFonts w:ascii="Times New Roman" w:eastAsia="Times New Roman" w:hAnsi="Times New Roman" w:cs="Times New Roman"/>
          <w:lang w:val="fr-FR"/>
        </w:rPr>
        <w:t xml:space="preserve">accroître la force de dissuasion </w:t>
      </w:r>
      <w:r w:rsidR="006F6EAE" w:rsidRPr="000B5793">
        <w:rPr>
          <w:rFonts w:ascii="Times New Roman" w:eastAsia="Times New Roman" w:hAnsi="Times New Roman" w:cs="Times New Roman"/>
          <w:lang w:val="fr-FR"/>
        </w:rPr>
        <w:t>relativement à de tels actes</w:t>
      </w:r>
      <w:r w:rsidR="00BD25CE" w:rsidRPr="000B5793">
        <w:rPr>
          <w:rFonts w:ascii="Times New Roman" w:eastAsia="Times New Roman" w:hAnsi="Times New Roman" w:cs="Times New Roman"/>
          <w:lang w:val="fr-FR"/>
        </w:rPr>
        <w:t>, les mesures nécessaires devraient être prises pour garantir que le délit de torture ne fasse jamais l</w:t>
      </w:r>
      <w:r w:rsidR="00603708">
        <w:rPr>
          <w:rFonts w:ascii="Times New Roman" w:eastAsia="Times New Roman" w:hAnsi="Times New Roman" w:cs="Times New Roman"/>
          <w:lang w:val="fr-FR"/>
        </w:rPr>
        <w:t>’</w:t>
      </w:r>
      <w:r w:rsidR="00BD25CE" w:rsidRPr="000B5793">
        <w:rPr>
          <w:rFonts w:ascii="Times New Roman" w:eastAsia="Times New Roman" w:hAnsi="Times New Roman" w:cs="Times New Roman"/>
          <w:lang w:val="fr-FR"/>
        </w:rPr>
        <w:t>objet d</w:t>
      </w:r>
      <w:r w:rsidR="00603708">
        <w:rPr>
          <w:rFonts w:ascii="Times New Roman" w:eastAsia="Times New Roman" w:hAnsi="Times New Roman" w:cs="Times New Roman"/>
          <w:lang w:val="fr-FR"/>
        </w:rPr>
        <w:t>’</w:t>
      </w:r>
      <w:r w:rsidR="00BD25CE" w:rsidRPr="000B5793">
        <w:rPr>
          <w:rFonts w:ascii="Times New Roman" w:eastAsia="Times New Roman" w:hAnsi="Times New Roman" w:cs="Times New Roman"/>
          <w:lang w:val="fr-FR"/>
        </w:rPr>
        <w:t>une prescription.</w:t>
      </w:r>
      <w:r w:rsidR="006F6EAE" w:rsidRPr="000B5793">
        <w:rPr>
          <w:rFonts w:ascii="Times New Roman" w:eastAsia="Times New Roman" w:hAnsi="Times New Roman" w:cs="Times New Roman"/>
          <w:lang w:val="fr-FR"/>
        </w:rPr>
        <w:t> »</w:t>
      </w:r>
    </w:p>
    <w:p w:rsidR="005254F7" w:rsidRPr="000121B9" w:rsidRDefault="005254F7" w:rsidP="005254F7">
      <w:pPr>
        <w:pStyle w:val="ECHRPara"/>
        <w:rPr>
          <w:lang w:val="fr-FR"/>
        </w:rPr>
      </w:pPr>
      <w:r w:rsidRPr="000121B9">
        <w:fldChar w:fldCharType="begin"/>
      </w:r>
      <w:r w:rsidRPr="000121B9">
        <w:rPr>
          <w:lang w:val="fr-FR"/>
        </w:rPr>
        <w:instrText xml:space="preserve"> SEQ level0 \*arabic </w:instrText>
      </w:r>
      <w:r w:rsidRPr="000121B9">
        <w:fldChar w:fldCharType="separate"/>
      </w:r>
      <w:r w:rsidR="00B378F9">
        <w:rPr>
          <w:noProof/>
          <w:lang w:val="fr-FR"/>
        </w:rPr>
        <w:t>121</w:t>
      </w:r>
      <w:r w:rsidRPr="000121B9">
        <w:fldChar w:fldCharType="end"/>
      </w:r>
      <w:r w:rsidRPr="000121B9">
        <w:rPr>
          <w:lang w:val="fr-FR"/>
        </w:rPr>
        <w:t>.  </w:t>
      </w:r>
      <w:r w:rsidR="007F0DE0" w:rsidRPr="000121B9">
        <w:rPr>
          <w:lang w:val="fr-FR"/>
        </w:rPr>
        <w:t xml:space="preserve">La réponse publiée à la demande du Gouvernement </w:t>
      </w:r>
      <w:r w:rsidR="007F0DE0" w:rsidRPr="000121B9">
        <w:rPr>
          <w:rStyle w:val="sb8d990e2"/>
          <w:lang w:val="fr-FR"/>
        </w:rPr>
        <w:t xml:space="preserve">italien </w:t>
      </w:r>
      <w:r w:rsidR="007F0DE0" w:rsidRPr="000121B9">
        <w:rPr>
          <w:lang w:val="fr-FR"/>
        </w:rPr>
        <w:t>(</w:t>
      </w:r>
      <w:r w:rsidRPr="000121B9">
        <w:rPr>
          <w:lang w:val="fr-FR"/>
        </w:rPr>
        <w:t>CPT/Inf (2013) 33 du 19 novembre 2013</w:t>
      </w:r>
      <w:r w:rsidR="007F0DE0" w:rsidRPr="000121B9">
        <w:rPr>
          <w:lang w:val="fr-FR"/>
        </w:rPr>
        <w:t>) est libellée comme suit</w:t>
      </w:r>
      <w:r w:rsidR="005A2C5C">
        <w:rPr>
          <w:lang w:val="fr-FR"/>
        </w:rPr>
        <w:t> </w:t>
      </w:r>
      <w:r w:rsidR="007F0DE0" w:rsidRPr="000121B9">
        <w:rPr>
          <w:lang w:val="fr-FR"/>
        </w:rPr>
        <w:t>:</w:t>
      </w:r>
    </w:p>
    <w:p w:rsidR="00063F1E" w:rsidRPr="000121B9" w:rsidRDefault="00063F1E" w:rsidP="00063F1E">
      <w:pPr>
        <w:pStyle w:val="ECHRParaQuote"/>
      </w:pPr>
      <w:r w:rsidRPr="000121B9">
        <w:rPr>
          <w:rStyle w:val="sb8d990e2"/>
        </w:rPr>
        <w:t>« </w:t>
      </w:r>
      <w:r w:rsidRPr="000121B9">
        <w:t>5.</w:t>
      </w:r>
      <w:r w:rsidR="005A2C5C">
        <w:t>  </w:t>
      </w:r>
      <w:r w:rsidRPr="000121B9">
        <w:t>As far as the crime of torture is concerned, besides recalling our previous information, we would like to reiterate as follows: Article 606 and other provisions, contained in the same section of the criminal code, safeguard the individual against illegal arrest, as undue restriction of personal liberty, abuse of office against detainees and prisoners, illegal inspections and personal searches. These safeguards are supplemented by provisions under Article 581 (battery), Article 582 (bodily injury), Article 610 (duress, in cases where violence or threat are not considered as a different crime) and Article 612 (threat) of the criminal code. Even more so, the provision under Article 575 (homicide) and Article 605 (kidnapping), to which general aggravating circumstances apply, regarding brutality and cruelty against individuals and the fact of having committed these crimes by abusing of power and violating the duties of a public office or public service, respectively (Article 61, paragraph 1, number 4 and 9 of the criminal code). The code of criminal procedure contains principles aiming at safeguarding the moral liberty of individuals: its Article 64, paragraph 2, and Article 188 set out that, “during interrogation and while collecting evidence, methods or techniques to influence the liberty of self-determination or to alter the ability to remember and to value facts cannot be used, not even with the consent of the person involved” (paragraph 6).</w:t>
      </w:r>
    </w:p>
    <w:p w:rsidR="00137A07" w:rsidRPr="000121B9" w:rsidRDefault="00137A07" w:rsidP="00063F1E">
      <w:pPr>
        <w:pStyle w:val="ECHRParaQuote"/>
      </w:pPr>
      <w:r w:rsidRPr="000121B9">
        <w:t>(</w:t>
      </w:r>
      <w:r w:rsidR="0032468C" w:rsidRPr="000121B9">
        <w:t>...</w:t>
      </w:r>
      <w:r w:rsidRPr="000121B9">
        <w:t>)</w:t>
      </w:r>
    </w:p>
    <w:p w:rsidR="00137A07" w:rsidRPr="000121B9" w:rsidRDefault="00137A07" w:rsidP="00137A07">
      <w:pPr>
        <w:pStyle w:val="ECHRParaQuote"/>
      </w:pPr>
      <w:r w:rsidRPr="000121B9">
        <w:t>13. As regards the advocated introduction into the Italian criminal system of the offence of torture, many have been the legislative proposals already formulated, however not yet approved by Parliament. According to one of such proposals, the offence takes place whenever there is a repetition of the criminal conduct over time (in its judgment no. 30780 of 27 July 2012, the Court of Cassation proposed a broad interpretation of the ill-treatment offence set forth in Art. 572 of the Criminal Code), so that if the violence has been exhausted in one sole action, the factual situation would not be included in the provision of the new legal instrument. »</w:t>
      </w:r>
    </w:p>
    <w:p w:rsidR="00E77CB3" w:rsidRPr="00C611D8" w:rsidRDefault="00E77CB3" w:rsidP="00E77CB3">
      <w:pPr>
        <w:pStyle w:val="ECHRTitle1"/>
        <w:rPr>
          <w:lang w:val="fr-FR"/>
        </w:rPr>
      </w:pPr>
      <w:r w:rsidRPr="000121B9">
        <w:rPr>
          <w:lang w:val="fr-FR"/>
        </w:rPr>
        <w:t>EN DROIT</w:t>
      </w:r>
    </w:p>
    <w:p w:rsidR="009968C5" w:rsidRDefault="00E77CB3" w:rsidP="00C63990">
      <w:pPr>
        <w:pStyle w:val="ECHRHeading1"/>
        <w:rPr>
          <w:lang w:val="fr-FR"/>
        </w:rPr>
      </w:pPr>
      <w:r w:rsidRPr="00C611D8">
        <w:rPr>
          <w:lang w:val="fr-FR"/>
        </w:rPr>
        <w:t>I.  </w:t>
      </w:r>
      <w:r w:rsidR="00FB36BD">
        <w:rPr>
          <w:lang w:val="fr-FR"/>
        </w:rPr>
        <w:t>OBSERVATIONS</w:t>
      </w:r>
      <w:r w:rsidR="009968C5">
        <w:rPr>
          <w:lang w:val="fr-FR"/>
        </w:rPr>
        <w:t xml:space="preserve"> PR</w:t>
      </w:r>
      <w:r w:rsidR="005A2C5C">
        <w:rPr>
          <w:rFonts w:cstheme="majorHAnsi"/>
          <w:lang w:val="fr-FR"/>
        </w:rPr>
        <w:t>É</w:t>
      </w:r>
      <w:r w:rsidR="009968C5">
        <w:rPr>
          <w:lang w:val="fr-FR"/>
        </w:rPr>
        <w:t>LIMINAIRE</w:t>
      </w:r>
      <w:r w:rsidR="00FB36BD">
        <w:rPr>
          <w:lang w:val="fr-FR"/>
        </w:rPr>
        <w:t>S</w:t>
      </w:r>
    </w:p>
    <w:p w:rsidR="00AF6FD3" w:rsidRPr="00AF6FD3" w:rsidRDefault="009968C5" w:rsidP="00AF6FD3">
      <w:pPr>
        <w:pStyle w:val="ECHRPara"/>
        <w:rPr>
          <w:lang w:val="fr-FR"/>
        </w:rPr>
      </w:pPr>
      <w:r w:rsidRPr="00D774FF">
        <w:rPr>
          <w:lang w:val="fr-FR"/>
        </w:rPr>
        <w:fldChar w:fldCharType="begin"/>
      </w:r>
      <w:r w:rsidRPr="001709C8">
        <w:rPr>
          <w:lang w:val="fr-FR"/>
        </w:rPr>
        <w:instrText xml:space="preserve"> SEQ level0 \*arabic </w:instrText>
      </w:r>
      <w:r w:rsidRPr="00D774FF">
        <w:rPr>
          <w:lang w:val="fr-FR"/>
        </w:rPr>
        <w:fldChar w:fldCharType="separate"/>
      </w:r>
      <w:r w:rsidR="00B378F9">
        <w:rPr>
          <w:noProof/>
          <w:lang w:val="fr-FR"/>
        </w:rPr>
        <w:t>122</w:t>
      </w:r>
      <w:r w:rsidRPr="00D774FF">
        <w:rPr>
          <w:lang w:val="fr-FR"/>
        </w:rPr>
        <w:fldChar w:fldCharType="end"/>
      </w:r>
      <w:r w:rsidRPr="001709C8">
        <w:rPr>
          <w:lang w:val="fr-FR"/>
        </w:rPr>
        <w:t>.  </w:t>
      </w:r>
      <w:r w:rsidR="00690CDC" w:rsidRPr="001709C8">
        <w:rPr>
          <w:lang w:val="fr-FR"/>
        </w:rPr>
        <w:t xml:space="preserve">Le </w:t>
      </w:r>
      <w:r w:rsidR="005E0E94" w:rsidRPr="001709C8">
        <w:rPr>
          <w:lang w:val="fr-FR"/>
        </w:rPr>
        <w:t>G</w:t>
      </w:r>
      <w:r w:rsidR="00690CDC" w:rsidRPr="001709C8">
        <w:rPr>
          <w:lang w:val="fr-FR"/>
        </w:rPr>
        <w:t xml:space="preserve">ouvernement </w:t>
      </w:r>
      <w:r w:rsidR="0020495F" w:rsidRPr="001709C8">
        <w:rPr>
          <w:lang w:val="fr-FR"/>
        </w:rPr>
        <w:t>excipe</w:t>
      </w:r>
      <w:r w:rsidR="005E0E94" w:rsidRPr="001709C8">
        <w:rPr>
          <w:lang w:val="fr-FR"/>
        </w:rPr>
        <w:t xml:space="preserve"> </w:t>
      </w:r>
      <w:r w:rsidR="001709C8">
        <w:rPr>
          <w:lang w:val="fr-FR"/>
        </w:rPr>
        <w:t>de la tardiveté de</w:t>
      </w:r>
      <w:r w:rsidR="005E0E94" w:rsidRPr="001709C8">
        <w:rPr>
          <w:lang w:val="fr-FR"/>
        </w:rPr>
        <w:t xml:space="preserve"> </w:t>
      </w:r>
      <w:r w:rsidR="00C86E58" w:rsidRPr="001709C8">
        <w:rPr>
          <w:lang w:val="fr-FR"/>
        </w:rPr>
        <w:t>la demande d</w:t>
      </w:r>
      <w:r w:rsidR="00603708">
        <w:rPr>
          <w:lang w:val="fr-FR"/>
        </w:rPr>
        <w:t>’</w:t>
      </w:r>
      <w:r w:rsidR="00C86E58" w:rsidRPr="001709C8">
        <w:rPr>
          <w:lang w:val="fr-FR"/>
        </w:rPr>
        <w:t xml:space="preserve">intervention </w:t>
      </w:r>
      <w:r w:rsidR="00616F60" w:rsidRPr="001709C8">
        <w:rPr>
          <w:rStyle w:val="sb8d990e2"/>
          <w:lang w:val="fr-FR"/>
        </w:rPr>
        <w:t>du Parti</w:t>
      </w:r>
      <w:r w:rsidR="00616F60" w:rsidRPr="00AF6FD3">
        <w:rPr>
          <w:rStyle w:val="sb8d990e2"/>
          <w:lang w:val="fr-FR"/>
        </w:rPr>
        <w:t xml:space="preserve"> radical non violent transnational et transparti, de l</w:t>
      </w:r>
      <w:r w:rsidR="00603708">
        <w:rPr>
          <w:lang w:val="fr-FR"/>
        </w:rPr>
        <w:t>’</w:t>
      </w:r>
      <w:r w:rsidR="00616F60" w:rsidRPr="00AF6FD3">
        <w:rPr>
          <w:lang w:val="fr-FR"/>
        </w:rPr>
        <w:t>association « </w:t>
      </w:r>
      <w:r w:rsidR="00616F60" w:rsidRPr="00AF6FD3">
        <w:rPr>
          <w:i/>
          <w:lang w:val="fr-FR"/>
        </w:rPr>
        <w:t>Non c</w:t>
      </w:r>
      <w:r w:rsidR="00603708">
        <w:rPr>
          <w:i/>
          <w:lang w:val="fr-FR"/>
        </w:rPr>
        <w:t>’</w:t>
      </w:r>
      <w:r w:rsidR="00616F60" w:rsidRPr="00AF6FD3">
        <w:rPr>
          <w:i/>
          <w:lang w:val="fr-FR"/>
        </w:rPr>
        <w:t>è pace senza giustizia</w:t>
      </w:r>
      <w:r w:rsidR="00616F60" w:rsidRPr="00AF6FD3">
        <w:rPr>
          <w:lang w:val="fr-FR"/>
        </w:rPr>
        <w:t xml:space="preserve"> » </w:t>
      </w:r>
      <w:r w:rsidR="00616F60" w:rsidRPr="00AF6FD3">
        <w:rPr>
          <w:rStyle w:val="sb8d990e2"/>
          <w:lang w:val="fr-FR"/>
        </w:rPr>
        <w:t>et des Radicaux italiens</w:t>
      </w:r>
      <w:r w:rsidR="00616F60" w:rsidRPr="00AF6FD3">
        <w:rPr>
          <w:lang w:val="fr-FR"/>
        </w:rPr>
        <w:t xml:space="preserve"> (anciennement « Parti radical italien »)</w:t>
      </w:r>
      <w:r w:rsidR="001709C8">
        <w:rPr>
          <w:rStyle w:val="sb8d990e2"/>
          <w:lang w:val="fr-FR"/>
        </w:rPr>
        <w:t>, arguant qu</w:t>
      </w:r>
      <w:r w:rsidR="00603708">
        <w:rPr>
          <w:rStyle w:val="sb8d990e2"/>
          <w:lang w:val="fr-FR"/>
        </w:rPr>
        <w:t>’</w:t>
      </w:r>
      <w:r w:rsidR="0020495F">
        <w:rPr>
          <w:rStyle w:val="sb8d990e2"/>
          <w:lang w:val="fr-FR"/>
        </w:rPr>
        <w:t xml:space="preserve">elle </w:t>
      </w:r>
      <w:r w:rsidR="00616F60" w:rsidRPr="00AF6FD3">
        <w:rPr>
          <w:rStyle w:val="sb8d990e2"/>
          <w:lang w:val="fr-FR"/>
        </w:rPr>
        <w:t xml:space="preserve">a été soumise à la Cour le </w:t>
      </w:r>
      <w:r w:rsidR="00AF6FD3" w:rsidRPr="00AF6FD3">
        <w:rPr>
          <w:rStyle w:val="sb8d990e2"/>
          <w:lang w:val="fr-FR"/>
        </w:rPr>
        <w:t>21 juin 2013,</w:t>
      </w:r>
      <w:r w:rsidR="0020495F">
        <w:rPr>
          <w:rStyle w:val="sb8d990e2"/>
          <w:lang w:val="fr-FR"/>
        </w:rPr>
        <w:t xml:space="preserve"> à savoir plus de douze semaines après la date à laquelle</w:t>
      </w:r>
      <w:r w:rsidR="00AF6FD3" w:rsidRPr="00AF6FD3">
        <w:rPr>
          <w:rStyle w:val="sb8d990e2"/>
          <w:lang w:val="fr-FR"/>
        </w:rPr>
        <w:t xml:space="preserve"> la requête a</w:t>
      </w:r>
      <w:r w:rsidR="00F963CF">
        <w:rPr>
          <w:rStyle w:val="sb8d990e2"/>
          <w:lang w:val="fr-FR"/>
        </w:rPr>
        <w:t>urait</w:t>
      </w:r>
      <w:r w:rsidR="00AF6FD3" w:rsidRPr="00AF6FD3">
        <w:rPr>
          <w:rStyle w:val="sb8d990e2"/>
          <w:lang w:val="fr-FR"/>
        </w:rPr>
        <w:t xml:space="preserve"> été porté</w:t>
      </w:r>
      <w:r w:rsidR="00F963CF">
        <w:rPr>
          <w:rStyle w:val="sb8d990e2"/>
          <w:lang w:val="fr-FR"/>
        </w:rPr>
        <w:t>e</w:t>
      </w:r>
      <w:r w:rsidR="00AF6FD3" w:rsidRPr="00AF6FD3">
        <w:rPr>
          <w:rStyle w:val="sb8d990e2"/>
          <w:lang w:val="fr-FR"/>
        </w:rPr>
        <w:t xml:space="preserve"> à sa </w:t>
      </w:r>
      <w:r w:rsidR="00AF6FD3" w:rsidRPr="00AF6FD3">
        <w:rPr>
          <w:lang w:val="fr-FR"/>
        </w:rPr>
        <w:t>connaissance</w:t>
      </w:r>
      <w:r w:rsidR="001709C8">
        <w:rPr>
          <w:lang w:val="fr-FR"/>
        </w:rPr>
        <w:t xml:space="preserve">, soit le </w:t>
      </w:r>
      <w:r w:rsidR="00AF6FD3" w:rsidRPr="00AF6FD3">
        <w:rPr>
          <w:lang w:val="fr-FR"/>
        </w:rPr>
        <w:t>21</w:t>
      </w:r>
      <w:r w:rsidR="000C198D">
        <w:rPr>
          <w:lang w:val="fr-FR"/>
        </w:rPr>
        <w:t> </w:t>
      </w:r>
      <w:r w:rsidR="00AF6FD3" w:rsidRPr="00AF6FD3">
        <w:rPr>
          <w:lang w:val="fr-FR"/>
        </w:rPr>
        <w:t>décembre</w:t>
      </w:r>
      <w:r w:rsidR="000C198D">
        <w:rPr>
          <w:lang w:val="fr-FR"/>
        </w:rPr>
        <w:t> </w:t>
      </w:r>
      <w:r w:rsidR="00AF6FD3" w:rsidRPr="00AF6FD3">
        <w:rPr>
          <w:lang w:val="fr-FR"/>
        </w:rPr>
        <w:t>2012</w:t>
      </w:r>
      <w:r w:rsidR="001709C8">
        <w:rPr>
          <w:lang w:val="fr-FR"/>
        </w:rPr>
        <w:t xml:space="preserve"> (</w:t>
      </w:r>
      <w:r w:rsidR="001F23BF" w:rsidRPr="000121B9">
        <w:rPr>
          <w:lang w:val="fr-FR"/>
        </w:rPr>
        <w:t xml:space="preserve">paragraphes </w:t>
      </w:r>
      <w:r w:rsidR="00CC2A82" w:rsidRPr="000121B9">
        <w:rPr>
          <w:lang w:val="fr-FR"/>
        </w:rPr>
        <w:t>4</w:t>
      </w:r>
      <w:r w:rsidR="003D4B46" w:rsidRPr="000121B9">
        <w:rPr>
          <w:lang w:val="fr-FR"/>
        </w:rPr>
        <w:t xml:space="preserve"> et </w:t>
      </w:r>
      <w:r w:rsidR="00CC2A82" w:rsidRPr="000121B9">
        <w:rPr>
          <w:lang w:val="fr-FR"/>
        </w:rPr>
        <w:t>5</w:t>
      </w:r>
      <w:r w:rsidR="003D4B46" w:rsidRPr="000121B9">
        <w:rPr>
          <w:lang w:val="fr-FR"/>
        </w:rPr>
        <w:t xml:space="preserve"> ci-dessus</w:t>
      </w:r>
      <w:r w:rsidR="0020495F" w:rsidRPr="000121B9">
        <w:rPr>
          <w:lang w:val="fr-FR"/>
        </w:rPr>
        <w:t>)</w:t>
      </w:r>
      <w:r w:rsidR="00AF6FD3" w:rsidRPr="000121B9">
        <w:rPr>
          <w:lang w:val="fr-FR"/>
        </w:rPr>
        <w:t>.</w:t>
      </w:r>
      <w:r w:rsidR="00616F60" w:rsidRPr="00AF6FD3">
        <w:rPr>
          <w:lang w:val="fr-FR"/>
        </w:rPr>
        <w:t xml:space="preserve"> </w:t>
      </w:r>
      <w:r w:rsidR="0020495F">
        <w:rPr>
          <w:lang w:val="fr-FR"/>
        </w:rPr>
        <w:t>Il invoque à ce propos l</w:t>
      </w:r>
      <w:r w:rsidR="00603708">
        <w:rPr>
          <w:lang w:val="fr-FR"/>
        </w:rPr>
        <w:t>’</w:t>
      </w:r>
      <w:r w:rsidR="00616F60" w:rsidRPr="00AF6FD3">
        <w:rPr>
          <w:lang w:val="fr-FR"/>
        </w:rPr>
        <w:t>article 44 § 3 du règlement</w:t>
      </w:r>
      <w:r w:rsidR="00AF6FD3" w:rsidRPr="00AF6FD3">
        <w:rPr>
          <w:lang w:val="fr-FR"/>
        </w:rPr>
        <w:t>, aux termes duquel les demandes d</w:t>
      </w:r>
      <w:r w:rsidR="00603708">
        <w:rPr>
          <w:lang w:val="fr-FR"/>
        </w:rPr>
        <w:t>’</w:t>
      </w:r>
      <w:r w:rsidR="00AF6FD3" w:rsidRPr="00AF6FD3">
        <w:rPr>
          <w:lang w:val="fr-FR"/>
        </w:rPr>
        <w:t xml:space="preserve">autorisation aux fins de la tierce intervention « doivent être </w:t>
      </w:r>
      <w:r w:rsidR="00F963CF">
        <w:rPr>
          <w:lang w:val="fr-FR"/>
        </w:rPr>
        <w:t>(</w:t>
      </w:r>
      <w:r w:rsidR="0032468C">
        <w:rPr>
          <w:lang w:val="fr-FR"/>
        </w:rPr>
        <w:t>...</w:t>
      </w:r>
      <w:r w:rsidR="00F963CF">
        <w:rPr>
          <w:lang w:val="fr-FR"/>
        </w:rPr>
        <w:t>)</w:t>
      </w:r>
      <w:r w:rsidR="00AF6FD3" w:rsidRPr="00AF6FD3">
        <w:rPr>
          <w:lang w:val="fr-FR"/>
        </w:rPr>
        <w:t xml:space="preserve"> soumises par écrit dans l</w:t>
      </w:r>
      <w:r w:rsidR="00603708">
        <w:rPr>
          <w:lang w:val="fr-FR"/>
        </w:rPr>
        <w:t>’</w:t>
      </w:r>
      <w:r w:rsidR="00AF6FD3" w:rsidRPr="00AF6FD3">
        <w:rPr>
          <w:lang w:val="fr-FR"/>
        </w:rPr>
        <w:t xml:space="preserve">une des langues officielles </w:t>
      </w:r>
      <w:r w:rsidR="001709C8">
        <w:rPr>
          <w:lang w:val="fr-FR"/>
        </w:rPr>
        <w:t>(</w:t>
      </w:r>
      <w:r w:rsidR="0032468C">
        <w:rPr>
          <w:lang w:val="fr-FR"/>
        </w:rPr>
        <w:t>...</w:t>
      </w:r>
      <w:r w:rsidR="001709C8">
        <w:rPr>
          <w:lang w:val="fr-FR"/>
        </w:rPr>
        <w:t>)</w:t>
      </w:r>
      <w:r w:rsidR="00AF6FD3" w:rsidRPr="00AF6FD3">
        <w:rPr>
          <w:lang w:val="fr-FR"/>
        </w:rPr>
        <w:t xml:space="preserve"> au plus tard douze semaines après que la requête a été portée à la connaissance de la Partie contractante défenderesse »</w:t>
      </w:r>
      <w:r w:rsidR="0020495F">
        <w:rPr>
          <w:lang w:val="fr-FR"/>
        </w:rPr>
        <w:t>.</w:t>
      </w:r>
    </w:p>
    <w:p w:rsidR="0032468C" w:rsidRDefault="00EE4DD1" w:rsidP="005E0E9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123</w:t>
      </w:r>
      <w:r>
        <w:rPr>
          <w:lang w:val="fr-FR"/>
        </w:rPr>
        <w:fldChar w:fldCharType="end"/>
      </w:r>
      <w:r>
        <w:rPr>
          <w:lang w:val="fr-FR"/>
        </w:rPr>
        <w:t>.  </w:t>
      </w:r>
      <w:r w:rsidR="005E0E94">
        <w:rPr>
          <w:lang w:val="fr-FR"/>
        </w:rPr>
        <w:t>Le Gouvernement</w:t>
      </w:r>
      <w:r w:rsidR="005E0E94" w:rsidRPr="005E0E94">
        <w:rPr>
          <w:lang w:val="fr-FR"/>
        </w:rPr>
        <w:t xml:space="preserve"> </w:t>
      </w:r>
      <w:r w:rsidR="001709C8">
        <w:rPr>
          <w:lang w:val="fr-FR"/>
        </w:rPr>
        <w:t>indique ensuite</w:t>
      </w:r>
      <w:r w:rsidR="005E0E94" w:rsidRPr="005E0E94">
        <w:rPr>
          <w:lang w:val="fr-FR"/>
        </w:rPr>
        <w:t xml:space="preserve"> que les interventions de tierces parties doivent </w:t>
      </w:r>
      <w:r w:rsidR="00F963CF">
        <w:rPr>
          <w:lang w:val="fr-FR"/>
        </w:rPr>
        <w:t>avoir pour but d</w:t>
      </w:r>
      <w:r w:rsidR="00603708">
        <w:rPr>
          <w:lang w:val="fr-FR"/>
        </w:rPr>
        <w:t>’</w:t>
      </w:r>
      <w:r w:rsidR="005E0E94" w:rsidRPr="005E0E94">
        <w:rPr>
          <w:lang w:val="fr-FR"/>
        </w:rPr>
        <w:t xml:space="preserve">accroître la connaissance de la Cour </w:t>
      </w:r>
      <w:r w:rsidR="001709C8">
        <w:rPr>
          <w:lang w:val="fr-FR"/>
        </w:rPr>
        <w:t>par l</w:t>
      </w:r>
      <w:r w:rsidR="00603708">
        <w:rPr>
          <w:lang w:val="fr-FR"/>
        </w:rPr>
        <w:t>’</w:t>
      </w:r>
      <w:r w:rsidR="001709C8">
        <w:rPr>
          <w:lang w:val="fr-FR"/>
        </w:rPr>
        <w:t>apport de</w:t>
      </w:r>
      <w:r w:rsidR="005E0E94" w:rsidRPr="005E0E94">
        <w:rPr>
          <w:lang w:val="fr-FR"/>
        </w:rPr>
        <w:t xml:space="preserve"> nouvelles informations ou d</w:t>
      </w:r>
      <w:r w:rsidR="00603708">
        <w:rPr>
          <w:lang w:val="fr-FR"/>
        </w:rPr>
        <w:t>’</w:t>
      </w:r>
      <w:r w:rsidR="005E0E94" w:rsidRPr="005E0E94">
        <w:rPr>
          <w:lang w:val="fr-FR"/>
        </w:rPr>
        <w:t>arguments juridiques supplémentaires à l</w:t>
      </w:r>
      <w:r w:rsidR="00603708">
        <w:rPr>
          <w:lang w:val="fr-FR"/>
        </w:rPr>
        <w:t>’</w:t>
      </w:r>
      <w:r w:rsidR="005E0E94" w:rsidRPr="005E0E94">
        <w:rPr>
          <w:lang w:val="fr-FR"/>
        </w:rPr>
        <w:t>égard des principes généraux pertinents pour l</w:t>
      </w:r>
      <w:r w:rsidR="00603708">
        <w:rPr>
          <w:lang w:val="fr-FR"/>
        </w:rPr>
        <w:t>’</w:t>
      </w:r>
      <w:r w:rsidR="005E0E94" w:rsidRPr="005E0E94">
        <w:rPr>
          <w:lang w:val="fr-FR"/>
        </w:rPr>
        <w:t>issue de l</w:t>
      </w:r>
      <w:r w:rsidR="00603708">
        <w:rPr>
          <w:lang w:val="fr-FR"/>
        </w:rPr>
        <w:t>’</w:t>
      </w:r>
      <w:r w:rsidR="005E0E94" w:rsidRPr="005E0E94">
        <w:rPr>
          <w:lang w:val="fr-FR"/>
        </w:rPr>
        <w:t>affaire. Or</w:t>
      </w:r>
      <w:r w:rsidR="0020495F">
        <w:rPr>
          <w:lang w:val="fr-FR"/>
        </w:rPr>
        <w:t xml:space="preserve">, </w:t>
      </w:r>
      <w:r w:rsidR="004E519B">
        <w:rPr>
          <w:lang w:val="fr-FR"/>
        </w:rPr>
        <w:t>en l</w:t>
      </w:r>
      <w:r w:rsidR="00603708">
        <w:rPr>
          <w:lang w:val="fr-FR"/>
        </w:rPr>
        <w:t>’</w:t>
      </w:r>
      <w:r w:rsidR="004E519B">
        <w:rPr>
          <w:lang w:val="fr-FR"/>
        </w:rPr>
        <w:t xml:space="preserve">espèce, </w:t>
      </w:r>
      <w:r w:rsidR="0020495F">
        <w:rPr>
          <w:lang w:val="fr-FR"/>
        </w:rPr>
        <w:t>les tiers intervenants se seraient</w:t>
      </w:r>
      <w:r w:rsidR="005E0E94" w:rsidRPr="005E0E94">
        <w:rPr>
          <w:lang w:val="fr-FR"/>
        </w:rPr>
        <w:t xml:space="preserve"> bornés à proposer des réformes législatives en Italie et à stigmatiser </w:t>
      </w:r>
      <w:r w:rsidR="001F23BF">
        <w:rPr>
          <w:lang w:val="fr-FR"/>
        </w:rPr>
        <w:t>l</w:t>
      </w:r>
      <w:r w:rsidR="00603708">
        <w:rPr>
          <w:lang w:val="fr-FR"/>
        </w:rPr>
        <w:t>’</w:t>
      </w:r>
      <w:r w:rsidR="001F23BF">
        <w:rPr>
          <w:lang w:val="fr-FR"/>
        </w:rPr>
        <w:t>absence de criminalisation de la torture</w:t>
      </w:r>
      <w:r w:rsidR="005E0E94" w:rsidRPr="005E0E94">
        <w:rPr>
          <w:lang w:val="fr-FR"/>
        </w:rPr>
        <w:t xml:space="preserve">, ce qui </w:t>
      </w:r>
      <w:r w:rsidR="00876FF5">
        <w:rPr>
          <w:lang w:val="fr-FR"/>
        </w:rPr>
        <w:t>ne correspond pas</w:t>
      </w:r>
      <w:r w:rsidR="001709C8">
        <w:rPr>
          <w:lang w:val="fr-FR"/>
        </w:rPr>
        <w:t>, selon le Gouvernement, au</w:t>
      </w:r>
      <w:r w:rsidR="005E0E94" w:rsidRPr="005E0E94">
        <w:rPr>
          <w:lang w:val="fr-FR"/>
        </w:rPr>
        <w:t xml:space="preserve"> rôle attendu d</w:t>
      </w:r>
      <w:r w:rsidR="00603708">
        <w:rPr>
          <w:lang w:val="fr-FR"/>
        </w:rPr>
        <w:t>’</w:t>
      </w:r>
      <w:r w:rsidR="005E0E94" w:rsidRPr="005E0E94">
        <w:rPr>
          <w:lang w:val="fr-FR"/>
        </w:rPr>
        <w:t xml:space="preserve">un </w:t>
      </w:r>
      <w:r w:rsidR="005E0E94" w:rsidRPr="005E0E94">
        <w:rPr>
          <w:i/>
          <w:lang w:val="fr-FR"/>
        </w:rPr>
        <w:t xml:space="preserve">amicus curiae </w:t>
      </w:r>
      <w:r w:rsidR="005E0E94" w:rsidRPr="005E0E94">
        <w:rPr>
          <w:lang w:val="fr-FR"/>
        </w:rPr>
        <w:t>devant la Cour.</w:t>
      </w:r>
    </w:p>
    <w:p w:rsidR="0020495F" w:rsidRDefault="00AF6FD3" w:rsidP="005E0E9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124</w:t>
      </w:r>
      <w:r>
        <w:rPr>
          <w:lang w:val="fr-FR"/>
        </w:rPr>
        <w:fldChar w:fldCharType="end"/>
      </w:r>
      <w:r>
        <w:rPr>
          <w:lang w:val="fr-FR"/>
        </w:rPr>
        <w:t xml:space="preserve">.  Pour ces raisons, le Gouvernement soutient que </w:t>
      </w:r>
      <w:r w:rsidR="005E0E94" w:rsidRPr="005E0E94">
        <w:rPr>
          <w:lang w:val="fr-FR"/>
        </w:rPr>
        <w:t>les observations des tiers intervenants ne devraient pas être versées au dossier ou</w:t>
      </w:r>
      <w:r w:rsidR="004E519B">
        <w:rPr>
          <w:lang w:val="fr-FR"/>
        </w:rPr>
        <w:t xml:space="preserve"> </w:t>
      </w:r>
      <w:r w:rsidR="005E0E94" w:rsidRPr="005E0E94">
        <w:rPr>
          <w:lang w:val="fr-FR"/>
        </w:rPr>
        <w:t>devraient</w:t>
      </w:r>
      <w:r w:rsidR="004E519B">
        <w:rPr>
          <w:lang w:val="fr-FR"/>
        </w:rPr>
        <w:t xml:space="preserve"> au moins</w:t>
      </w:r>
      <w:r w:rsidR="005E0E94" w:rsidRPr="005E0E94">
        <w:rPr>
          <w:lang w:val="fr-FR"/>
        </w:rPr>
        <w:t xml:space="preserve"> être ignorées par la Cour. </w:t>
      </w:r>
      <w:r w:rsidR="001709C8">
        <w:rPr>
          <w:lang w:val="fr-FR"/>
        </w:rPr>
        <w:t>Il ajoute que, e</w:t>
      </w:r>
      <w:r w:rsidR="005E0E94" w:rsidRPr="005E0E94">
        <w:rPr>
          <w:lang w:val="fr-FR"/>
        </w:rPr>
        <w:t>n tout état de cause, ces observations s</w:t>
      </w:r>
      <w:r w:rsidR="001709C8">
        <w:rPr>
          <w:lang w:val="fr-FR"/>
        </w:rPr>
        <w:t>o</w:t>
      </w:r>
      <w:r w:rsidR="005E0E94" w:rsidRPr="005E0E94">
        <w:rPr>
          <w:lang w:val="fr-FR"/>
        </w:rPr>
        <w:t xml:space="preserve">nt </w:t>
      </w:r>
      <w:r w:rsidR="002F72CB">
        <w:rPr>
          <w:lang w:val="fr-FR"/>
        </w:rPr>
        <w:t>dén</w:t>
      </w:r>
      <w:r w:rsidR="001709C8">
        <w:rPr>
          <w:lang w:val="fr-FR"/>
        </w:rPr>
        <w:t>uée</w:t>
      </w:r>
      <w:r w:rsidR="002F72CB">
        <w:rPr>
          <w:lang w:val="fr-FR"/>
        </w:rPr>
        <w:t>s de tout fondement en l</w:t>
      </w:r>
      <w:r w:rsidR="00603708">
        <w:rPr>
          <w:lang w:val="fr-FR"/>
        </w:rPr>
        <w:t>’</w:t>
      </w:r>
      <w:r w:rsidR="002F72CB">
        <w:rPr>
          <w:lang w:val="fr-FR"/>
        </w:rPr>
        <w:t>espèce,</w:t>
      </w:r>
      <w:r w:rsidR="005E0E94" w:rsidRPr="005E0E94">
        <w:rPr>
          <w:lang w:val="fr-FR"/>
        </w:rPr>
        <w:t xml:space="preserve"> </w:t>
      </w:r>
      <w:r w:rsidR="000D5576">
        <w:rPr>
          <w:lang w:val="fr-FR"/>
        </w:rPr>
        <w:t>au motif</w:t>
      </w:r>
      <w:r w:rsidR="005E0E94" w:rsidRPr="005E0E94">
        <w:rPr>
          <w:lang w:val="fr-FR"/>
        </w:rPr>
        <w:t xml:space="preserve"> que l</w:t>
      </w:r>
      <w:r w:rsidR="00603708">
        <w:rPr>
          <w:lang w:val="fr-FR"/>
        </w:rPr>
        <w:t>’</w:t>
      </w:r>
      <w:r w:rsidR="005E0E94" w:rsidRPr="005E0E94">
        <w:rPr>
          <w:lang w:val="fr-FR"/>
        </w:rPr>
        <w:t>absence d</w:t>
      </w:r>
      <w:r w:rsidR="000D5576">
        <w:rPr>
          <w:lang w:val="fr-FR"/>
        </w:rPr>
        <w:t>u</w:t>
      </w:r>
      <w:r w:rsidR="005E0E94" w:rsidRPr="005E0E94">
        <w:rPr>
          <w:lang w:val="fr-FR"/>
        </w:rPr>
        <w:t xml:space="preserve"> crime de torture en droit italien n</w:t>
      </w:r>
      <w:r w:rsidR="00603708">
        <w:rPr>
          <w:lang w:val="fr-FR"/>
        </w:rPr>
        <w:t>’</w:t>
      </w:r>
      <w:r w:rsidR="005E0E94" w:rsidRPr="005E0E94">
        <w:rPr>
          <w:lang w:val="fr-FR"/>
        </w:rPr>
        <w:t>a pas</w:t>
      </w:r>
      <w:r w:rsidR="001709C8">
        <w:rPr>
          <w:lang w:val="fr-FR"/>
        </w:rPr>
        <w:t>, selon lui,</w:t>
      </w:r>
      <w:r w:rsidR="005E0E94" w:rsidRPr="005E0E94">
        <w:rPr>
          <w:lang w:val="fr-FR"/>
        </w:rPr>
        <w:t xml:space="preserve"> empêché l</w:t>
      </w:r>
      <w:r w:rsidR="00603708">
        <w:rPr>
          <w:lang w:val="fr-FR"/>
        </w:rPr>
        <w:t>’</w:t>
      </w:r>
      <w:r w:rsidR="005E0E94" w:rsidRPr="005E0E94">
        <w:rPr>
          <w:lang w:val="fr-FR"/>
        </w:rPr>
        <w:t xml:space="preserve">identification et la punition des </w:t>
      </w:r>
      <w:r w:rsidR="0020495F">
        <w:rPr>
          <w:lang w:val="fr-FR"/>
        </w:rPr>
        <w:t>agents des forces de l</w:t>
      </w:r>
      <w:r w:rsidR="00603708">
        <w:rPr>
          <w:lang w:val="fr-FR"/>
        </w:rPr>
        <w:t>’</w:t>
      </w:r>
      <w:r w:rsidR="0020495F">
        <w:rPr>
          <w:lang w:val="fr-FR"/>
        </w:rPr>
        <w:t>ordre impliqué</w:t>
      </w:r>
      <w:r w:rsidR="005E0E94" w:rsidRPr="005E0E94">
        <w:rPr>
          <w:lang w:val="fr-FR"/>
        </w:rPr>
        <w:t xml:space="preserve">s dans les événements </w:t>
      </w:r>
      <w:r w:rsidR="0020495F">
        <w:rPr>
          <w:lang w:val="fr-FR"/>
        </w:rPr>
        <w:t>de l</w:t>
      </w:r>
      <w:r w:rsidR="00603708">
        <w:rPr>
          <w:lang w:val="fr-FR"/>
        </w:rPr>
        <w:t>’</w:t>
      </w:r>
      <w:r w:rsidR="0020495F">
        <w:rPr>
          <w:lang w:val="fr-FR"/>
        </w:rPr>
        <w:t xml:space="preserve">école Diaz-Pertini </w:t>
      </w:r>
      <w:r w:rsidR="001709C8">
        <w:rPr>
          <w:lang w:val="fr-FR"/>
        </w:rPr>
        <w:t>ni</w:t>
      </w:r>
      <w:r w:rsidR="0020495F">
        <w:rPr>
          <w:lang w:val="fr-FR"/>
        </w:rPr>
        <w:t xml:space="preserve"> le dédommagement du requérant.</w:t>
      </w:r>
    </w:p>
    <w:p w:rsidR="00C446CE" w:rsidRDefault="0020495F" w:rsidP="005E0E9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125</w:t>
      </w:r>
      <w:r>
        <w:rPr>
          <w:lang w:val="fr-FR"/>
        </w:rPr>
        <w:fldChar w:fldCharType="end"/>
      </w:r>
      <w:r>
        <w:rPr>
          <w:lang w:val="fr-FR"/>
        </w:rPr>
        <w:t>. </w:t>
      </w:r>
      <w:r w:rsidR="001709C8">
        <w:rPr>
          <w:lang w:val="fr-FR"/>
        </w:rPr>
        <w:t> </w:t>
      </w:r>
      <w:r w:rsidR="00C446CE">
        <w:rPr>
          <w:lang w:val="fr-FR"/>
        </w:rPr>
        <w:t>Le requérant n</w:t>
      </w:r>
      <w:r w:rsidR="00603708">
        <w:rPr>
          <w:lang w:val="fr-FR"/>
        </w:rPr>
        <w:t>’</w:t>
      </w:r>
      <w:r w:rsidR="00C446CE">
        <w:rPr>
          <w:lang w:val="fr-FR"/>
        </w:rPr>
        <w:t>a pas formulé d</w:t>
      </w:r>
      <w:r w:rsidR="00603708">
        <w:rPr>
          <w:lang w:val="fr-FR"/>
        </w:rPr>
        <w:t>’</w:t>
      </w:r>
      <w:r w:rsidR="00C446CE">
        <w:rPr>
          <w:lang w:val="fr-FR"/>
        </w:rPr>
        <w:t>observations à cet égard.</w:t>
      </w:r>
    </w:p>
    <w:p w:rsidR="007318A0" w:rsidRDefault="00C446CE" w:rsidP="00C446CE">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126</w:t>
      </w:r>
      <w:r>
        <w:rPr>
          <w:lang w:val="fr-FR"/>
        </w:rPr>
        <w:fldChar w:fldCharType="end"/>
      </w:r>
      <w:r>
        <w:rPr>
          <w:lang w:val="fr-FR"/>
        </w:rPr>
        <w:t>. </w:t>
      </w:r>
      <w:r w:rsidR="005F5A71">
        <w:rPr>
          <w:lang w:val="fr-FR"/>
        </w:rPr>
        <w:t> </w:t>
      </w:r>
      <w:r>
        <w:rPr>
          <w:lang w:val="fr-FR"/>
        </w:rPr>
        <w:t xml:space="preserve">En ce qui concerne le premier volet des observations préliminaires du Gouvernement, la Cour </w:t>
      </w:r>
      <w:r w:rsidR="007318A0">
        <w:rPr>
          <w:lang w:val="fr-FR"/>
        </w:rPr>
        <w:t xml:space="preserve">se borne à rappeler </w:t>
      </w:r>
      <w:r>
        <w:rPr>
          <w:lang w:val="fr-FR"/>
        </w:rPr>
        <w:t>qu</w:t>
      </w:r>
      <w:r w:rsidR="00603708">
        <w:rPr>
          <w:lang w:val="fr-FR"/>
        </w:rPr>
        <w:t>’</w:t>
      </w:r>
      <w:r>
        <w:rPr>
          <w:lang w:val="fr-FR"/>
        </w:rPr>
        <w:t xml:space="preserve">aux termes de </w:t>
      </w:r>
      <w:r w:rsidR="005F5A71">
        <w:rPr>
          <w:lang w:val="fr-FR"/>
        </w:rPr>
        <w:t>l</w:t>
      </w:r>
      <w:r w:rsidR="00603708">
        <w:rPr>
          <w:lang w:val="fr-FR"/>
        </w:rPr>
        <w:t>’</w:t>
      </w:r>
      <w:r w:rsidR="005F5A71">
        <w:rPr>
          <w:lang w:val="fr-FR"/>
        </w:rPr>
        <w:t>article </w:t>
      </w:r>
      <w:r w:rsidR="005F5A71" w:rsidRPr="00AF6FD3">
        <w:rPr>
          <w:lang w:val="fr-FR"/>
        </w:rPr>
        <w:t>44</w:t>
      </w:r>
      <w:r w:rsidR="005F5A71">
        <w:rPr>
          <w:lang w:val="fr-FR"/>
        </w:rPr>
        <w:t> </w:t>
      </w:r>
      <w:r w:rsidRPr="00AF6FD3">
        <w:rPr>
          <w:lang w:val="fr-FR"/>
        </w:rPr>
        <w:t xml:space="preserve">§ 3 </w:t>
      </w:r>
      <w:r w:rsidR="005F5A71">
        <w:rPr>
          <w:i/>
          <w:lang w:val="fr-FR"/>
        </w:rPr>
        <w:t>in fine</w:t>
      </w:r>
      <w:r w:rsidR="005F5A71" w:rsidRPr="00AF6FD3">
        <w:rPr>
          <w:lang w:val="fr-FR"/>
        </w:rPr>
        <w:t xml:space="preserve"> </w:t>
      </w:r>
      <w:r w:rsidRPr="00AF6FD3">
        <w:rPr>
          <w:lang w:val="fr-FR"/>
        </w:rPr>
        <w:t>du règlement</w:t>
      </w:r>
      <w:r>
        <w:rPr>
          <w:lang w:val="fr-FR"/>
        </w:rPr>
        <w:t>, « [l]</w:t>
      </w:r>
      <w:r w:rsidRPr="00C446CE">
        <w:rPr>
          <w:lang w:val="fr-FR"/>
        </w:rPr>
        <w:t>e président de la chambre peut, à</w:t>
      </w:r>
      <w:r>
        <w:rPr>
          <w:lang w:val="fr-FR"/>
        </w:rPr>
        <w:t xml:space="preserve"> </w:t>
      </w:r>
      <w:r w:rsidRPr="00C446CE">
        <w:rPr>
          <w:lang w:val="fr-FR"/>
        </w:rPr>
        <w:t>titre exceptionnel, fixer un autre délai</w:t>
      </w:r>
      <w:r>
        <w:rPr>
          <w:lang w:val="fr-FR"/>
        </w:rPr>
        <w:t xml:space="preserve"> » </w:t>
      </w:r>
      <w:r w:rsidR="005F5A71">
        <w:rPr>
          <w:lang w:val="fr-FR"/>
        </w:rPr>
        <w:t>que</w:t>
      </w:r>
      <w:r>
        <w:rPr>
          <w:lang w:val="fr-FR"/>
        </w:rPr>
        <w:t xml:space="preserve"> celui de douze semaines indiqué dans la </w:t>
      </w:r>
      <w:r w:rsidR="009856F5">
        <w:rPr>
          <w:lang w:val="fr-FR"/>
        </w:rPr>
        <w:t>première partie de ce</w:t>
      </w:r>
      <w:r>
        <w:rPr>
          <w:lang w:val="fr-FR"/>
        </w:rPr>
        <w:t xml:space="preserve"> même article</w:t>
      </w:r>
      <w:r w:rsidR="00CC2A82">
        <w:rPr>
          <w:lang w:val="fr-FR"/>
        </w:rPr>
        <w:t>.</w:t>
      </w:r>
    </w:p>
    <w:p w:rsidR="00EE4DD1" w:rsidRDefault="00EE4DD1" w:rsidP="00C446CE">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127</w:t>
      </w:r>
      <w:r>
        <w:rPr>
          <w:lang w:val="fr-FR"/>
        </w:rPr>
        <w:fldChar w:fldCharType="end"/>
      </w:r>
      <w:r>
        <w:rPr>
          <w:lang w:val="fr-FR"/>
        </w:rPr>
        <w:t xml:space="preserve">.  Pour le reste, la Cour </w:t>
      </w:r>
      <w:r w:rsidR="00ED2BBC">
        <w:rPr>
          <w:lang w:val="fr-FR"/>
        </w:rPr>
        <w:t xml:space="preserve">se bornera à prendre en compte les commentaires des tiers intervenants </w:t>
      </w:r>
      <w:r w:rsidR="000D5576">
        <w:rPr>
          <w:lang w:val="fr-FR"/>
        </w:rPr>
        <w:t xml:space="preserve">qui seraient pertinents </w:t>
      </w:r>
      <w:r w:rsidR="00C267AE">
        <w:rPr>
          <w:lang w:val="fr-FR"/>
        </w:rPr>
        <w:t>dans le cadre de l</w:t>
      </w:r>
      <w:r w:rsidR="00603708">
        <w:rPr>
          <w:lang w:val="fr-FR"/>
        </w:rPr>
        <w:t>’</w:t>
      </w:r>
      <w:r w:rsidR="00C267AE">
        <w:rPr>
          <w:lang w:val="fr-FR"/>
        </w:rPr>
        <w:t>examen des griefs du requérant.</w:t>
      </w:r>
    </w:p>
    <w:p w:rsidR="0032468C" w:rsidRDefault="009968C5" w:rsidP="00C63990">
      <w:pPr>
        <w:pStyle w:val="ECHRHeading1"/>
        <w:rPr>
          <w:lang w:val="fr-FR"/>
        </w:rPr>
      </w:pPr>
      <w:r>
        <w:rPr>
          <w:lang w:val="fr-FR"/>
        </w:rPr>
        <w:t>II.</w:t>
      </w:r>
      <w:r w:rsidR="005F5A71">
        <w:rPr>
          <w:lang w:val="fr-FR"/>
        </w:rPr>
        <w:t>  </w:t>
      </w:r>
      <w:r w:rsidR="00E77CB3" w:rsidRPr="00C611D8">
        <w:rPr>
          <w:lang w:val="fr-FR"/>
        </w:rPr>
        <w:t xml:space="preserve">SUR LA </w:t>
      </w:r>
      <w:r w:rsidR="00150C1A" w:rsidRPr="00150C1A">
        <w:rPr>
          <w:lang w:val="fr-FR"/>
        </w:rPr>
        <w:t>VIOLATION ALLÉGUÉE DE L</w:t>
      </w:r>
      <w:r w:rsidR="00603708">
        <w:rPr>
          <w:lang w:val="fr-FR"/>
        </w:rPr>
        <w:t>’</w:t>
      </w:r>
      <w:r w:rsidR="00150C1A" w:rsidRPr="00150C1A">
        <w:rPr>
          <w:lang w:val="fr-FR"/>
        </w:rPr>
        <w:t>ARTICLE 3 DE LA CONVENTION</w:t>
      </w:r>
    </w:p>
    <w:p w:rsidR="00C267AE" w:rsidRPr="00085B68" w:rsidRDefault="001C4340" w:rsidP="00C267AE">
      <w:pPr>
        <w:autoSpaceDE w:val="0"/>
        <w:autoSpaceDN w:val="0"/>
        <w:adjustRightInd w:val="0"/>
        <w:ind w:firstLine="284"/>
        <w:rPr>
          <w:szCs w:val="24"/>
          <w:lang w:val="fr-FR" w:eastAsia="en-GB"/>
        </w:rPr>
      </w:pPr>
      <w:r>
        <w:rPr>
          <w:lang w:val="fr-FR"/>
        </w:rPr>
        <w:fldChar w:fldCharType="begin"/>
      </w:r>
      <w:r>
        <w:rPr>
          <w:lang w:val="fr-FR"/>
        </w:rPr>
        <w:instrText xml:space="preserve"> SEQ level0 \*arabic </w:instrText>
      </w:r>
      <w:r>
        <w:rPr>
          <w:lang w:val="fr-FR"/>
        </w:rPr>
        <w:fldChar w:fldCharType="separate"/>
      </w:r>
      <w:r w:rsidR="00B378F9">
        <w:rPr>
          <w:noProof/>
          <w:lang w:val="fr-FR"/>
        </w:rPr>
        <w:t>128</w:t>
      </w:r>
      <w:r>
        <w:rPr>
          <w:lang w:val="fr-FR"/>
        </w:rPr>
        <w:fldChar w:fldCharType="end"/>
      </w:r>
      <w:r w:rsidR="00E77CB3" w:rsidRPr="00C611D8">
        <w:rPr>
          <w:lang w:val="fr-FR"/>
        </w:rPr>
        <w:t>.  </w:t>
      </w:r>
      <w:r w:rsidR="00C267AE">
        <w:rPr>
          <w:lang w:val="fr-FR"/>
        </w:rPr>
        <w:t xml:space="preserve">Le requérant </w:t>
      </w:r>
      <w:r w:rsidR="000D5576">
        <w:rPr>
          <w:lang w:val="fr-FR"/>
        </w:rPr>
        <w:t>soutient que</w:t>
      </w:r>
      <w:r w:rsidR="00C267AE">
        <w:rPr>
          <w:lang w:val="fr-FR"/>
        </w:rPr>
        <w:t>, l</w:t>
      </w:r>
      <w:r w:rsidR="00C267AE" w:rsidRPr="00B13255">
        <w:rPr>
          <w:lang w:val="fr-FR"/>
        </w:rPr>
        <w:t>ors de l</w:t>
      </w:r>
      <w:r w:rsidR="00603708">
        <w:rPr>
          <w:lang w:val="fr-FR"/>
        </w:rPr>
        <w:t>’</w:t>
      </w:r>
      <w:r w:rsidR="00C267AE" w:rsidRPr="00B13255">
        <w:rPr>
          <w:lang w:val="fr-FR"/>
        </w:rPr>
        <w:t>irruption des forces de l</w:t>
      </w:r>
      <w:r w:rsidR="00603708">
        <w:rPr>
          <w:lang w:val="fr-FR"/>
        </w:rPr>
        <w:t>’</w:t>
      </w:r>
      <w:r w:rsidR="00C267AE" w:rsidRPr="00B13255">
        <w:rPr>
          <w:lang w:val="fr-FR"/>
        </w:rPr>
        <w:t>ordre dans</w:t>
      </w:r>
      <w:r w:rsidR="00C267AE">
        <w:rPr>
          <w:lang w:val="fr-FR"/>
        </w:rPr>
        <w:t xml:space="preserve"> l</w:t>
      </w:r>
      <w:r w:rsidR="00603708">
        <w:rPr>
          <w:lang w:val="fr-FR"/>
        </w:rPr>
        <w:t>’</w:t>
      </w:r>
      <w:r w:rsidR="00C267AE">
        <w:rPr>
          <w:lang w:val="fr-FR"/>
        </w:rPr>
        <w:t>école Diaz-Pertini</w:t>
      </w:r>
      <w:r w:rsidR="00C267AE" w:rsidRPr="00B13255">
        <w:rPr>
          <w:lang w:val="fr-FR"/>
        </w:rPr>
        <w:t xml:space="preserve">, il </w:t>
      </w:r>
      <w:r w:rsidR="002705A6">
        <w:rPr>
          <w:lang w:val="fr-FR"/>
        </w:rPr>
        <w:t xml:space="preserve">a été victime de violences et </w:t>
      </w:r>
      <w:r w:rsidR="00706F11">
        <w:rPr>
          <w:lang w:val="fr-FR"/>
        </w:rPr>
        <w:t xml:space="preserve">de </w:t>
      </w:r>
      <w:r w:rsidR="002705A6">
        <w:rPr>
          <w:lang w:val="fr-FR"/>
        </w:rPr>
        <w:t>sévices</w:t>
      </w:r>
      <w:r w:rsidR="00085B68">
        <w:rPr>
          <w:szCs w:val="24"/>
          <w:lang w:val="fr-FR" w:eastAsia="en-GB"/>
        </w:rPr>
        <w:t xml:space="preserve"> </w:t>
      </w:r>
      <w:r w:rsidR="00085B68" w:rsidRPr="00085B68">
        <w:rPr>
          <w:lang w:val="fr-FR"/>
        </w:rPr>
        <w:t>qu</w:t>
      </w:r>
      <w:r w:rsidR="00603708">
        <w:rPr>
          <w:lang w:val="fr-FR"/>
        </w:rPr>
        <w:t>’</w:t>
      </w:r>
      <w:r w:rsidR="00CC2A82">
        <w:rPr>
          <w:lang w:val="fr-FR"/>
        </w:rPr>
        <w:t>il</w:t>
      </w:r>
      <w:r w:rsidR="00085B68" w:rsidRPr="00085B68">
        <w:rPr>
          <w:lang w:val="fr-FR"/>
        </w:rPr>
        <w:t xml:space="preserve"> </w:t>
      </w:r>
      <w:r w:rsidR="00CC2A82">
        <w:rPr>
          <w:lang w:val="fr-FR"/>
        </w:rPr>
        <w:t>qualifie d</w:t>
      </w:r>
      <w:r w:rsidR="00603708">
        <w:rPr>
          <w:lang w:val="fr-FR"/>
        </w:rPr>
        <w:t>’</w:t>
      </w:r>
      <w:r w:rsidR="00CC2A82">
        <w:rPr>
          <w:lang w:val="fr-FR"/>
        </w:rPr>
        <w:t xml:space="preserve">actes </w:t>
      </w:r>
      <w:r w:rsidR="00085B68" w:rsidRPr="00085B68">
        <w:rPr>
          <w:lang w:val="fr-FR"/>
        </w:rPr>
        <w:t>de torture.</w:t>
      </w:r>
    </w:p>
    <w:p w:rsidR="003534AD" w:rsidRDefault="004C2E62" w:rsidP="00F271FE">
      <w:pPr>
        <w:autoSpaceDE w:val="0"/>
        <w:autoSpaceDN w:val="0"/>
        <w:adjustRightInd w:val="0"/>
        <w:ind w:firstLine="284"/>
        <w:rPr>
          <w:lang w:val="fr-FR" w:eastAsia="en-GB"/>
        </w:rPr>
      </w:pPr>
      <w:r>
        <w:rPr>
          <w:szCs w:val="24"/>
          <w:lang w:val="fr-FR" w:eastAsia="en-GB"/>
        </w:rPr>
        <w:t xml:space="preserve">Il </w:t>
      </w:r>
      <w:r w:rsidR="00706F11">
        <w:rPr>
          <w:szCs w:val="24"/>
          <w:lang w:val="fr-FR" w:eastAsia="en-GB"/>
        </w:rPr>
        <w:t xml:space="preserve">soutient </w:t>
      </w:r>
      <w:r w:rsidR="000D5576">
        <w:rPr>
          <w:szCs w:val="24"/>
          <w:lang w:val="fr-FR" w:eastAsia="en-GB"/>
        </w:rPr>
        <w:t xml:space="preserve">aussi </w:t>
      </w:r>
      <w:r w:rsidR="00085B68">
        <w:rPr>
          <w:szCs w:val="24"/>
          <w:lang w:val="fr-FR" w:eastAsia="en-GB"/>
        </w:rPr>
        <w:t xml:space="preserve">que la </w:t>
      </w:r>
      <w:r w:rsidR="000D5576">
        <w:rPr>
          <w:szCs w:val="24"/>
          <w:lang w:val="fr-FR" w:eastAsia="en-GB"/>
        </w:rPr>
        <w:t xml:space="preserve">sanction </w:t>
      </w:r>
      <w:r w:rsidR="002705A6">
        <w:rPr>
          <w:szCs w:val="24"/>
          <w:lang w:val="fr-FR" w:eastAsia="en-GB"/>
        </w:rPr>
        <w:t>des responsables de</w:t>
      </w:r>
      <w:r w:rsidR="00706F11">
        <w:rPr>
          <w:szCs w:val="24"/>
          <w:lang w:val="fr-FR" w:eastAsia="en-GB"/>
        </w:rPr>
        <w:t>s</w:t>
      </w:r>
      <w:r w:rsidR="002705A6">
        <w:rPr>
          <w:szCs w:val="24"/>
          <w:lang w:val="fr-FR" w:eastAsia="en-GB"/>
        </w:rPr>
        <w:t xml:space="preserve"> actes </w:t>
      </w:r>
      <w:r w:rsidR="00706F11">
        <w:rPr>
          <w:szCs w:val="24"/>
          <w:lang w:val="fr-FR" w:eastAsia="en-GB"/>
        </w:rPr>
        <w:t>qu</w:t>
      </w:r>
      <w:r w:rsidR="00603708">
        <w:rPr>
          <w:szCs w:val="24"/>
          <w:lang w:val="fr-FR" w:eastAsia="en-GB"/>
        </w:rPr>
        <w:t>’</w:t>
      </w:r>
      <w:r w:rsidR="00706F11">
        <w:rPr>
          <w:szCs w:val="24"/>
          <w:lang w:val="fr-FR" w:eastAsia="en-GB"/>
        </w:rPr>
        <w:t xml:space="preserve">il dénonce </w:t>
      </w:r>
      <w:r w:rsidR="00085B68">
        <w:rPr>
          <w:szCs w:val="24"/>
          <w:lang w:val="fr-FR" w:eastAsia="en-GB"/>
        </w:rPr>
        <w:t xml:space="preserve">a été inadéquate </w:t>
      </w:r>
      <w:r w:rsidR="00F271FE">
        <w:rPr>
          <w:szCs w:val="24"/>
          <w:lang w:val="fr-FR" w:eastAsia="en-GB"/>
        </w:rPr>
        <w:t>en raison</w:t>
      </w:r>
      <w:r w:rsidR="00085B68">
        <w:rPr>
          <w:szCs w:val="24"/>
          <w:lang w:val="fr-FR" w:eastAsia="en-GB"/>
        </w:rPr>
        <w:t xml:space="preserve">, </w:t>
      </w:r>
      <w:r w:rsidR="00F271FE">
        <w:rPr>
          <w:szCs w:val="24"/>
          <w:lang w:val="fr-FR" w:eastAsia="en-GB"/>
        </w:rPr>
        <w:t>notamment</w:t>
      </w:r>
      <w:r w:rsidR="00085B68">
        <w:rPr>
          <w:szCs w:val="24"/>
          <w:lang w:val="fr-FR" w:eastAsia="en-GB"/>
        </w:rPr>
        <w:t>, de la prescription</w:t>
      </w:r>
      <w:r w:rsidR="000D5576">
        <w:rPr>
          <w:szCs w:val="24"/>
          <w:lang w:val="fr-FR" w:eastAsia="en-GB"/>
        </w:rPr>
        <w:t>,</w:t>
      </w:r>
      <w:r w:rsidR="00085B68">
        <w:rPr>
          <w:szCs w:val="24"/>
          <w:lang w:val="fr-FR" w:eastAsia="en-GB"/>
        </w:rPr>
        <w:t xml:space="preserve"> </w:t>
      </w:r>
      <w:r w:rsidR="00F271FE">
        <w:rPr>
          <w:szCs w:val="24"/>
          <w:lang w:val="fr-FR" w:eastAsia="en-GB"/>
        </w:rPr>
        <w:t>au cours de la</w:t>
      </w:r>
      <w:r w:rsidR="00224E3E">
        <w:rPr>
          <w:szCs w:val="24"/>
          <w:lang w:val="fr-FR" w:eastAsia="en-GB"/>
        </w:rPr>
        <w:t xml:space="preserve"> </w:t>
      </w:r>
      <w:r w:rsidR="00F271FE">
        <w:rPr>
          <w:szCs w:val="24"/>
          <w:lang w:val="fr-FR" w:eastAsia="en-GB"/>
        </w:rPr>
        <w:t>procédure pénale</w:t>
      </w:r>
      <w:r w:rsidR="000D5576">
        <w:rPr>
          <w:szCs w:val="24"/>
          <w:lang w:val="fr-FR" w:eastAsia="en-GB"/>
        </w:rPr>
        <w:t>,</w:t>
      </w:r>
      <w:r w:rsidR="00F271FE">
        <w:rPr>
          <w:szCs w:val="24"/>
          <w:lang w:val="fr-FR" w:eastAsia="en-GB"/>
        </w:rPr>
        <w:t xml:space="preserve"> </w:t>
      </w:r>
      <w:r w:rsidR="00085B68">
        <w:rPr>
          <w:szCs w:val="24"/>
          <w:lang w:val="fr-FR" w:eastAsia="en-GB"/>
        </w:rPr>
        <w:t xml:space="preserve">de la plupart des délits </w:t>
      </w:r>
      <w:r w:rsidR="00F271FE">
        <w:rPr>
          <w:szCs w:val="24"/>
          <w:lang w:val="fr-FR" w:eastAsia="en-GB"/>
        </w:rPr>
        <w:t xml:space="preserve">reprochés, </w:t>
      </w:r>
      <w:r w:rsidR="00085B68">
        <w:rPr>
          <w:szCs w:val="24"/>
          <w:lang w:val="fr-FR" w:eastAsia="en-GB"/>
        </w:rPr>
        <w:t>de</w:t>
      </w:r>
      <w:r w:rsidR="000D5576">
        <w:rPr>
          <w:szCs w:val="24"/>
          <w:lang w:val="fr-FR" w:eastAsia="en-GB"/>
        </w:rPr>
        <w:t>s</w:t>
      </w:r>
      <w:r w:rsidR="00085B68">
        <w:rPr>
          <w:szCs w:val="24"/>
          <w:lang w:val="fr-FR" w:eastAsia="en-GB"/>
        </w:rPr>
        <w:t xml:space="preserve"> </w:t>
      </w:r>
      <w:r w:rsidR="000D5576">
        <w:rPr>
          <w:szCs w:val="24"/>
          <w:lang w:val="fr-FR" w:eastAsia="en-GB"/>
        </w:rPr>
        <w:t>réductions de</w:t>
      </w:r>
      <w:r w:rsidR="00085B68" w:rsidRPr="005A3826">
        <w:rPr>
          <w:lang w:val="fr-FR" w:eastAsia="en-GB"/>
        </w:rPr>
        <w:t xml:space="preserve"> peine</w:t>
      </w:r>
      <w:r w:rsidR="00085B68">
        <w:rPr>
          <w:lang w:val="fr-FR" w:eastAsia="en-GB"/>
        </w:rPr>
        <w:t xml:space="preserve"> dont certains condamnés </w:t>
      </w:r>
      <w:r w:rsidR="00706F11">
        <w:rPr>
          <w:lang w:val="fr-FR" w:eastAsia="en-GB"/>
        </w:rPr>
        <w:t>auraient</w:t>
      </w:r>
      <w:r w:rsidR="00085B68">
        <w:rPr>
          <w:lang w:val="fr-FR" w:eastAsia="en-GB"/>
        </w:rPr>
        <w:t xml:space="preserve"> bénéficié</w:t>
      </w:r>
      <w:r w:rsidR="00F271FE">
        <w:rPr>
          <w:lang w:val="fr-FR" w:eastAsia="en-GB"/>
        </w:rPr>
        <w:t xml:space="preserve"> et de l</w:t>
      </w:r>
      <w:r w:rsidR="00603708">
        <w:rPr>
          <w:lang w:val="fr-FR" w:eastAsia="en-GB"/>
        </w:rPr>
        <w:t>’</w:t>
      </w:r>
      <w:r w:rsidR="00F271FE">
        <w:rPr>
          <w:lang w:val="fr-FR" w:eastAsia="en-GB"/>
        </w:rPr>
        <w:t xml:space="preserve">absence </w:t>
      </w:r>
      <w:r w:rsidR="00F271FE" w:rsidRPr="005A3826">
        <w:rPr>
          <w:lang w:val="fr-FR" w:eastAsia="en-GB"/>
        </w:rPr>
        <w:t>de sanctions disciplinaires</w:t>
      </w:r>
      <w:r w:rsidR="00F271FE">
        <w:rPr>
          <w:lang w:val="fr-FR" w:eastAsia="en-GB"/>
        </w:rPr>
        <w:t xml:space="preserve"> à l</w:t>
      </w:r>
      <w:r w:rsidR="00603708">
        <w:rPr>
          <w:lang w:val="fr-FR" w:eastAsia="en-GB"/>
        </w:rPr>
        <w:t>’</w:t>
      </w:r>
      <w:r w:rsidR="00F271FE">
        <w:rPr>
          <w:lang w:val="fr-FR" w:eastAsia="en-GB"/>
        </w:rPr>
        <w:t>égard de ces mêmes personnes. Il soutient, en particulier, que</w:t>
      </w:r>
      <w:r w:rsidR="00706F11">
        <w:rPr>
          <w:lang w:val="fr-FR" w:eastAsia="en-GB"/>
        </w:rPr>
        <w:t>,</w:t>
      </w:r>
      <w:r w:rsidR="00F271FE" w:rsidRPr="005A3826">
        <w:rPr>
          <w:lang w:val="fr-FR" w:eastAsia="en-GB"/>
        </w:rPr>
        <w:t xml:space="preserve"> en s</w:t>
      </w:r>
      <w:r w:rsidR="00603708">
        <w:rPr>
          <w:lang w:val="fr-FR" w:eastAsia="en-GB"/>
        </w:rPr>
        <w:t>’</w:t>
      </w:r>
      <w:r w:rsidR="00F271FE" w:rsidRPr="005A3826">
        <w:rPr>
          <w:lang w:val="fr-FR" w:eastAsia="en-GB"/>
        </w:rPr>
        <w:t>abstenant d</w:t>
      </w:r>
      <w:r w:rsidR="00603708">
        <w:rPr>
          <w:lang w:val="fr-FR" w:eastAsia="en-GB"/>
        </w:rPr>
        <w:t>’</w:t>
      </w:r>
      <w:r w:rsidR="00F271FE" w:rsidRPr="005A3826">
        <w:rPr>
          <w:lang w:val="fr-FR" w:eastAsia="en-GB"/>
        </w:rPr>
        <w:t xml:space="preserve">inscrire en délit tout acte </w:t>
      </w:r>
      <w:r w:rsidR="00F271FE">
        <w:rPr>
          <w:lang w:val="fr-FR" w:eastAsia="en-GB"/>
        </w:rPr>
        <w:t xml:space="preserve">de torture et </w:t>
      </w:r>
      <w:r w:rsidR="00F271FE" w:rsidRPr="005A3826">
        <w:rPr>
          <w:lang w:val="fr-FR" w:eastAsia="en-GB"/>
        </w:rPr>
        <w:t xml:space="preserve">de prévoir une peine adéquate pour un tel délit, </w:t>
      </w:r>
      <w:r w:rsidR="00CC2A82" w:rsidRPr="005A3826">
        <w:rPr>
          <w:lang w:val="fr-FR" w:eastAsia="en-GB"/>
        </w:rPr>
        <w:t>l</w:t>
      </w:r>
      <w:r w:rsidR="00603708">
        <w:rPr>
          <w:lang w:val="fr-FR" w:eastAsia="en-GB"/>
        </w:rPr>
        <w:t>’</w:t>
      </w:r>
      <w:r w:rsidR="00CC2A82" w:rsidRPr="005A3826">
        <w:rPr>
          <w:lang w:val="fr-FR" w:eastAsia="en-GB"/>
        </w:rPr>
        <w:t xml:space="preserve">État </w:t>
      </w:r>
      <w:r w:rsidR="00F271FE" w:rsidRPr="005A3826">
        <w:rPr>
          <w:lang w:val="fr-FR" w:eastAsia="en-GB"/>
        </w:rPr>
        <w:t>n</w:t>
      </w:r>
      <w:r w:rsidR="00603708">
        <w:rPr>
          <w:lang w:val="fr-FR" w:eastAsia="en-GB"/>
        </w:rPr>
        <w:t>’</w:t>
      </w:r>
      <w:r w:rsidR="00F271FE" w:rsidRPr="005A3826">
        <w:rPr>
          <w:lang w:val="fr-FR" w:eastAsia="en-GB"/>
        </w:rPr>
        <w:t xml:space="preserve">a pas adopté les mesures nécessaires pour prévenir les </w:t>
      </w:r>
      <w:r w:rsidR="003744FE">
        <w:rPr>
          <w:lang w:val="fr-FR" w:eastAsia="en-GB"/>
        </w:rPr>
        <w:t xml:space="preserve">violences et les autres mauvais traitements </w:t>
      </w:r>
      <w:r w:rsidR="00F271FE">
        <w:rPr>
          <w:lang w:val="fr-FR" w:eastAsia="en-GB"/>
        </w:rPr>
        <w:t xml:space="preserve">dont </w:t>
      </w:r>
      <w:r w:rsidR="000D5576">
        <w:rPr>
          <w:lang w:val="fr-FR" w:eastAsia="en-GB"/>
        </w:rPr>
        <w:t>lui-même se dit</w:t>
      </w:r>
      <w:r w:rsidR="00F271FE">
        <w:rPr>
          <w:lang w:val="fr-FR" w:eastAsia="en-GB"/>
        </w:rPr>
        <w:t xml:space="preserve"> victime.</w:t>
      </w:r>
    </w:p>
    <w:p w:rsidR="003534AD" w:rsidRPr="003534AD" w:rsidRDefault="003534AD" w:rsidP="003534AD">
      <w:pPr>
        <w:pStyle w:val="ECHRPara"/>
        <w:rPr>
          <w:lang w:val="fr-FR"/>
        </w:rPr>
      </w:pPr>
      <w:r w:rsidRPr="003534AD">
        <w:rPr>
          <w:lang w:val="fr-FR"/>
        </w:rPr>
        <w:t>Il invoque l</w:t>
      </w:r>
      <w:r w:rsidR="00603708">
        <w:rPr>
          <w:lang w:val="fr-FR"/>
        </w:rPr>
        <w:t>’</w:t>
      </w:r>
      <w:r w:rsidRPr="003534AD">
        <w:rPr>
          <w:lang w:val="fr-FR"/>
        </w:rPr>
        <w:t>article 3 de la Convention, ainsi libellé :</w:t>
      </w:r>
    </w:p>
    <w:p w:rsidR="00614232" w:rsidRDefault="003534AD" w:rsidP="00614232">
      <w:pPr>
        <w:pStyle w:val="ECHRParaQuote"/>
        <w:rPr>
          <w:lang w:val="fr-FR"/>
        </w:rPr>
      </w:pPr>
      <w:r w:rsidRPr="003534AD">
        <w:rPr>
          <w:lang w:val="fr-FR"/>
        </w:rPr>
        <w:t>« Nul ne peut être soumis à la torture ni à des peines ou traitements inhumains ou dégradants. »</w:t>
      </w:r>
    </w:p>
    <w:p w:rsidR="0032468C" w:rsidRDefault="003534AD" w:rsidP="003534AD">
      <w:pPr>
        <w:pStyle w:val="ECHRPara"/>
        <w:rPr>
          <w:rStyle w:val="sb8d990e2"/>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129</w:t>
      </w:r>
      <w:r>
        <w:rPr>
          <w:lang w:val="fr-FR"/>
        </w:rPr>
        <w:fldChar w:fldCharType="end"/>
      </w:r>
      <w:r>
        <w:rPr>
          <w:lang w:val="fr-FR"/>
        </w:rPr>
        <w:t>.  </w:t>
      </w:r>
      <w:r w:rsidR="007379E3">
        <w:rPr>
          <w:rStyle w:val="sb8d990e2"/>
          <w:lang w:val="fr-FR"/>
        </w:rPr>
        <w:t>En ce qui concerne les</w:t>
      </w:r>
      <w:r w:rsidR="00614232" w:rsidRPr="00614232">
        <w:rPr>
          <w:rStyle w:val="sb8d990e2"/>
          <w:lang w:val="fr-FR"/>
        </w:rPr>
        <w:t xml:space="preserve"> prétendue</w:t>
      </w:r>
      <w:r w:rsidR="007379E3">
        <w:rPr>
          <w:rStyle w:val="sb8d990e2"/>
          <w:lang w:val="fr-FR"/>
        </w:rPr>
        <w:t>s défaillances</w:t>
      </w:r>
      <w:r w:rsidR="00614232" w:rsidRPr="00614232">
        <w:rPr>
          <w:rStyle w:val="sb8d990e2"/>
          <w:lang w:val="fr-FR"/>
        </w:rPr>
        <w:t xml:space="preserve"> de l</w:t>
      </w:r>
      <w:r w:rsidR="00603708">
        <w:rPr>
          <w:rStyle w:val="sb8d990e2"/>
          <w:lang w:val="fr-FR"/>
        </w:rPr>
        <w:t>’</w:t>
      </w:r>
      <w:r w:rsidR="00614232" w:rsidRPr="00614232">
        <w:rPr>
          <w:rStyle w:val="sb8d990e2"/>
          <w:lang w:val="fr-FR"/>
        </w:rPr>
        <w:t>enquête</w:t>
      </w:r>
      <w:r w:rsidR="0014396D">
        <w:rPr>
          <w:rStyle w:val="sb8d990e2"/>
          <w:lang w:val="fr-FR"/>
        </w:rPr>
        <w:t xml:space="preserve"> découlant</w:t>
      </w:r>
      <w:r w:rsidR="00FF0F33">
        <w:rPr>
          <w:rStyle w:val="sb8d990e2"/>
          <w:lang w:val="fr-FR"/>
        </w:rPr>
        <w:t>, notamment,</w:t>
      </w:r>
      <w:r w:rsidR="0014396D">
        <w:rPr>
          <w:rStyle w:val="sb8d990e2"/>
          <w:lang w:val="fr-FR"/>
        </w:rPr>
        <w:t xml:space="preserve"> de la prescription des délits</w:t>
      </w:r>
      <w:r w:rsidR="00FF0F33">
        <w:rPr>
          <w:rStyle w:val="sb8d990e2"/>
          <w:lang w:val="fr-FR"/>
        </w:rPr>
        <w:t xml:space="preserve"> et de l</w:t>
      </w:r>
      <w:r w:rsidR="00603708">
        <w:rPr>
          <w:rStyle w:val="sb8d990e2"/>
          <w:lang w:val="fr-FR"/>
        </w:rPr>
        <w:t>’</w:t>
      </w:r>
      <w:r w:rsidR="00FF0F33">
        <w:rPr>
          <w:rStyle w:val="sb8d990e2"/>
          <w:lang w:val="fr-FR"/>
        </w:rPr>
        <w:t>absence</w:t>
      </w:r>
      <w:r w:rsidR="0014396D">
        <w:rPr>
          <w:rStyle w:val="sb8d990e2"/>
          <w:lang w:val="fr-FR"/>
        </w:rPr>
        <w:t xml:space="preserve"> du délit de torture dans l</w:t>
      </w:r>
      <w:r w:rsidR="00603708">
        <w:rPr>
          <w:rStyle w:val="sb8d990e2"/>
          <w:lang w:val="fr-FR"/>
        </w:rPr>
        <w:t>’</w:t>
      </w:r>
      <w:r w:rsidR="0014396D">
        <w:rPr>
          <w:rStyle w:val="sb8d990e2"/>
          <w:lang w:val="fr-FR"/>
        </w:rPr>
        <w:t xml:space="preserve">ordre juridique </w:t>
      </w:r>
      <w:r w:rsidR="00FF0F33">
        <w:rPr>
          <w:rStyle w:val="sb8d990e2"/>
          <w:lang w:val="fr-FR"/>
        </w:rPr>
        <w:t>i</w:t>
      </w:r>
      <w:r w:rsidR="0014396D">
        <w:rPr>
          <w:rStyle w:val="sb8d990e2"/>
          <w:lang w:val="fr-FR"/>
        </w:rPr>
        <w:t>talien</w:t>
      </w:r>
      <w:r w:rsidR="00FF0F33">
        <w:rPr>
          <w:rStyle w:val="sb8d990e2"/>
          <w:lang w:val="fr-FR"/>
        </w:rPr>
        <w:t>,</w:t>
      </w:r>
      <w:r w:rsidR="00614232" w:rsidRPr="00614232">
        <w:rPr>
          <w:rStyle w:val="sb8d990e2"/>
          <w:lang w:val="fr-FR"/>
        </w:rPr>
        <w:t xml:space="preserve"> le requérant invoque également les articles 6 </w:t>
      </w:r>
      <w:r w:rsidR="00614232">
        <w:rPr>
          <w:rStyle w:val="sb8d990e2"/>
          <w:lang w:val="fr-FR"/>
        </w:rPr>
        <w:t xml:space="preserve">§ 1 (délai raisonnable de la procédure) </w:t>
      </w:r>
      <w:r w:rsidR="00614232" w:rsidRPr="00614232">
        <w:rPr>
          <w:rStyle w:val="sb8d990e2"/>
          <w:lang w:val="fr-FR"/>
        </w:rPr>
        <w:t>et 13 de la Convention, pris séparément et en combinaison avec l</w:t>
      </w:r>
      <w:r w:rsidR="00603708">
        <w:rPr>
          <w:rStyle w:val="sb8d990e2"/>
          <w:lang w:val="fr-FR"/>
        </w:rPr>
        <w:t>’</w:t>
      </w:r>
      <w:r w:rsidR="00614232" w:rsidRPr="00614232">
        <w:rPr>
          <w:rStyle w:val="sb8d990e2"/>
          <w:lang w:val="fr-FR"/>
        </w:rPr>
        <w:t>article 3</w:t>
      </w:r>
      <w:r w:rsidR="007379E3">
        <w:rPr>
          <w:rStyle w:val="sb8d990e2"/>
          <w:lang w:val="fr-FR"/>
        </w:rPr>
        <w:t>.</w:t>
      </w:r>
    </w:p>
    <w:p w:rsidR="00614232" w:rsidRDefault="000D5576" w:rsidP="003534AD">
      <w:pPr>
        <w:pStyle w:val="ECHRPara"/>
        <w:rPr>
          <w:lang w:val="fr-FR"/>
        </w:rPr>
      </w:pPr>
      <w:r>
        <w:rPr>
          <w:rStyle w:val="sb8d990e2"/>
          <w:lang w:val="fr-FR"/>
        </w:rPr>
        <w:t>E</w:t>
      </w:r>
      <w:r w:rsidR="00614232" w:rsidRPr="00614232">
        <w:rPr>
          <w:rStyle w:val="sb8d990e2"/>
          <w:lang w:val="fr-FR"/>
        </w:rPr>
        <w:t>u égard à la formulation des griefs du requérant, la Cour estime qu</w:t>
      </w:r>
      <w:r w:rsidR="00603708">
        <w:rPr>
          <w:rStyle w:val="sb8d990e2"/>
          <w:lang w:val="fr-FR"/>
        </w:rPr>
        <w:t>’</w:t>
      </w:r>
      <w:r w:rsidR="00614232" w:rsidRPr="00614232">
        <w:rPr>
          <w:rStyle w:val="sb8d990e2"/>
          <w:lang w:val="fr-FR"/>
        </w:rPr>
        <w:t>il convient d</w:t>
      </w:r>
      <w:r w:rsidR="00603708">
        <w:rPr>
          <w:rStyle w:val="sb8d990e2"/>
          <w:lang w:val="fr-FR"/>
        </w:rPr>
        <w:t>’</w:t>
      </w:r>
      <w:r w:rsidR="00614232" w:rsidRPr="00614232">
        <w:rPr>
          <w:rStyle w:val="sb8d990e2"/>
          <w:lang w:val="fr-FR"/>
        </w:rPr>
        <w:t xml:space="preserve">examiner la question </w:t>
      </w:r>
      <w:r w:rsidR="00ED165F">
        <w:rPr>
          <w:rStyle w:val="sb8d990e2"/>
          <w:lang w:val="fr-FR"/>
        </w:rPr>
        <w:t xml:space="preserve">de </w:t>
      </w:r>
      <w:r w:rsidR="00614232" w:rsidRPr="00614232">
        <w:rPr>
          <w:rStyle w:val="sb8d990e2"/>
          <w:lang w:val="fr-FR"/>
        </w:rPr>
        <w:t>l</w:t>
      </w:r>
      <w:r w:rsidR="00603708">
        <w:rPr>
          <w:rStyle w:val="sb8d990e2"/>
          <w:lang w:val="fr-FR"/>
        </w:rPr>
        <w:t>’</w:t>
      </w:r>
      <w:r w:rsidR="00614232" w:rsidRPr="00614232">
        <w:rPr>
          <w:rStyle w:val="sb8d990e2"/>
          <w:lang w:val="fr-FR"/>
        </w:rPr>
        <w:t>absence d</w:t>
      </w:r>
      <w:r w:rsidR="00603708">
        <w:rPr>
          <w:rStyle w:val="sb8d990e2"/>
          <w:lang w:val="fr-FR"/>
        </w:rPr>
        <w:t>’</w:t>
      </w:r>
      <w:r w:rsidR="00614232" w:rsidRPr="00614232">
        <w:rPr>
          <w:rStyle w:val="sb8d990e2"/>
          <w:lang w:val="fr-FR"/>
        </w:rPr>
        <w:t>une enquête effective sur les mauvais traitements allégués uniquement sous l</w:t>
      </w:r>
      <w:r w:rsidR="00603708">
        <w:rPr>
          <w:rStyle w:val="sb8d990e2"/>
          <w:lang w:val="fr-FR"/>
        </w:rPr>
        <w:t>’</w:t>
      </w:r>
      <w:r w:rsidR="00614232" w:rsidRPr="00614232">
        <w:rPr>
          <w:rStyle w:val="sb8d990e2"/>
          <w:lang w:val="fr-FR"/>
        </w:rPr>
        <w:t>angle du volet procédural de l</w:t>
      </w:r>
      <w:r w:rsidR="00603708">
        <w:rPr>
          <w:rStyle w:val="sb8d990e2"/>
          <w:lang w:val="fr-FR"/>
        </w:rPr>
        <w:t>’</w:t>
      </w:r>
      <w:r w:rsidR="00614232" w:rsidRPr="00614232">
        <w:rPr>
          <w:rStyle w:val="sb8d990e2"/>
          <w:lang w:val="fr-FR"/>
        </w:rPr>
        <w:t>a</w:t>
      </w:r>
      <w:r w:rsidR="00614232">
        <w:rPr>
          <w:rStyle w:val="sb8d990e2"/>
          <w:lang w:val="fr-FR"/>
        </w:rPr>
        <w:t>rticle 3 de la Convention (</w:t>
      </w:r>
      <w:r w:rsidR="0064029F" w:rsidRPr="005B5F67">
        <w:rPr>
          <w:i/>
          <w:lang w:val="fr-FR"/>
        </w:rPr>
        <w:t>Dembele c. Suisse</w:t>
      </w:r>
      <w:r w:rsidR="0064029F">
        <w:rPr>
          <w:lang w:val="fr-FR"/>
        </w:rPr>
        <w:t>,</w:t>
      </w:r>
      <w:r w:rsidR="0032468C">
        <w:rPr>
          <w:lang w:val="fr-FR"/>
        </w:rPr>
        <w:t xml:space="preserve"> </w:t>
      </w:r>
      <w:r w:rsidR="0064029F" w:rsidRPr="005B5F67">
        <w:rPr>
          <w:lang w:val="fr-FR"/>
        </w:rPr>
        <w:t>n</w:t>
      </w:r>
      <w:r w:rsidR="0064029F" w:rsidRPr="005B5F67">
        <w:rPr>
          <w:vertAlign w:val="superscript"/>
          <w:lang w:val="fr-FR"/>
        </w:rPr>
        <w:t>o</w:t>
      </w:r>
      <w:r w:rsidR="00706F11">
        <w:rPr>
          <w:lang w:val="fr-FR"/>
        </w:rPr>
        <w:t> </w:t>
      </w:r>
      <w:r w:rsidR="0064029F" w:rsidRPr="005B5F67">
        <w:rPr>
          <w:lang w:val="fr-FR"/>
        </w:rPr>
        <w:t>74010/11</w:t>
      </w:r>
      <w:r w:rsidR="0064029F" w:rsidRPr="005B5F67">
        <w:rPr>
          <w:snapToGrid w:val="0"/>
          <w:lang w:val="fr-FR"/>
        </w:rPr>
        <w:t xml:space="preserve">, § </w:t>
      </w:r>
      <w:r w:rsidR="0064029F">
        <w:rPr>
          <w:snapToGrid w:val="0"/>
          <w:lang w:val="fr-FR"/>
        </w:rPr>
        <w:t>33</w:t>
      </w:r>
      <w:r w:rsidR="0064029F" w:rsidRPr="005B5F67">
        <w:rPr>
          <w:snapToGrid w:val="0"/>
          <w:lang w:val="fr-FR"/>
        </w:rPr>
        <w:t>, 24</w:t>
      </w:r>
      <w:r w:rsidR="008A3307">
        <w:rPr>
          <w:snapToGrid w:val="0"/>
          <w:lang w:val="fr-FR"/>
        </w:rPr>
        <w:t> </w:t>
      </w:r>
      <w:r w:rsidR="0064029F" w:rsidRPr="005B5F67">
        <w:rPr>
          <w:lang w:val="fr-FR"/>
        </w:rPr>
        <w:t>septembre</w:t>
      </w:r>
      <w:r w:rsidR="0064029F" w:rsidRPr="005B5F67">
        <w:rPr>
          <w:snapToGrid w:val="0"/>
          <w:lang w:val="fr-FR"/>
        </w:rPr>
        <w:t xml:space="preserve"> 2013</w:t>
      </w:r>
      <w:r w:rsidR="007379E3">
        <w:rPr>
          <w:rStyle w:val="sb8d990e2"/>
          <w:lang w:val="fr-FR"/>
        </w:rPr>
        <w:t xml:space="preserve">, </w:t>
      </w:r>
      <w:r w:rsidR="00706F11">
        <w:rPr>
          <w:rStyle w:val="sb8d990e2"/>
          <w:lang w:val="fr-FR"/>
        </w:rPr>
        <w:t>avec</w:t>
      </w:r>
      <w:r w:rsidR="007379E3">
        <w:rPr>
          <w:rStyle w:val="sb8d990e2"/>
          <w:lang w:val="fr-FR"/>
        </w:rPr>
        <w:t xml:space="preserve"> les références qu</w:t>
      </w:r>
      <w:r>
        <w:rPr>
          <w:rStyle w:val="sb8d990e2"/>
          <w:lang w:val="fr-FR"/>
        </w:rPr>
        <w:t xml:space="preserve">i </w:t>
      </w:r>
      <w:r w:rsidR="007379E3">
        <w:rPr>
          <w:rStyle w:val="sb8d990e2"/>
          <w:lang w:val="fr-FR"/>
        </w:rPr>
        <w:t>y figurent</w:t>
      </w:r>
      <w:r w:rsidR="00614232" w:rsidRPr="00614232">
        <w:rPr>
          <w:rStyle w:val="sb8d990e2"/>
          <w:lang w:val="fr-FR"/>
        </w:rPr>
        <w:t>).</w:t>
      </w:r>
    </w:p>
    <w:p w:rsidR="003534AD" w:rsidRPr="003534AD" w:rsidRDefault="00614232" w:rsidP="003534AD">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130</w:t>
      </w:r>
      <w:r>
        <w:rPr>
          <w:lang w:val="fr-FR"/>
        </w:rPr>
        <w:fldChar w:fldCharType="end"/>
      </w:r>
      <w:r>
        <w:rPr>
          <w:lang w:val="fr-FR"/>
        </w:rPr>
        <w:t>.  </w:t>
      </w:r>
      <w:r w:rsidR="003534AD" w:rsidRPr="003534AD">
        <w:rPr>
          <w:lang w:val="fr-FR"/>
        </w:rPr>
        <w:t xml:space="preserve">Le Gouvernement </w:t>
      </w:r>
      <w:r w:rsidR="000D5576">
        <w:rPr>
          <w:lang w:val="fr-FR"/>
        </w:rPr>
        <w:t>combat</w:t>
      </w:r>
      <w:r w:rsidR="003534AD">
        <w:rPr>
          <w:lang w:val="fr-FR"/>
        </w:rPr>
        <w:t xml:space="preserve"> </w:t>
      </w:r>
      <w:r>
        <w:rPr>
          <w:lang w:val="fr-FR"/>
        </w:rPr>
        <w:t>la</w:t>
      </w:r>
      <w:r w:rsidR="003534AD">
        <w:rPr>
          <w:lang w:val="fr-FR"/>
        </w:rPr>
        <w:t xml:space="preserve"> </w:t>
      </w:r>
      <w:r w:rsidR="003744FE">
        <w:rPr>
          <w:lang w:val="fr-FR"/>
        </w:rPr>
        <w:t>thèse</w:t>
      </w:r>
      <w:r>
        <w:rPr>
          <w:lang w:val="fr-FR"/>
        </w:rPr>
        <w:t xml:space="preserve"> du requérant</w:t>
      </w:r>
      <w:r w:rsidR="003534AD" w:rsidRPr="003534AD">
        <w:rPr>
          <w:lang w:val="fr-FR"/>
        </w:rPr>
        <w:t>.</w:t>
      </w:r>
    </w:p>
    <w:p w:rsidR="00E77CB3" w:rsidRPr="00C611D8" w:rsidRDefault="00890A48" w:rsidP="003534AD">
      <w:pPr>
        <w:pStyle w:val="ECHRHeading2"/>
        <w:rPr>
          <w:lang w:val="fr-FR"/>
        </w:rPr>
      </w:pPr>
      <w:r>
        <w:rPr>
          <w:lang w:val="fr-FR"/>
        </w:rPr>
        <w:t>A</w:t>
      </w:r>
      <w:r w:rsidR="00345AD4">
        <w:rPr>
          <w:lang w:val="fr-FR"/>
        </w:rPr>
        <w:t>.</w:t>
      </w:r>
      <w:r w:rsidR="00706F11">
        <w:rPr>
          <w:lang w:val="fr-FR"/>
        </w:rPr>
        <w:t>  </w:t>
      </w:r>
      <w:r w:rsidR="00E77CB3" w:rsidRPr="00C611D8">
        <w:rPr>
          <w:lang w:val="fr-FR"/>
        </w:rPr>
        <w:t>Sur la recevabilité</w:t>
      </w:r>
    </w:p>
    <w:p w:rsidR="00BF14F6" w:rsidRPr="00BF14F6" w:rsidRDefault="00BF14F6" w:rsidP="00BF14F6">
      <w:pPr>
        <w:pStyle w:val="ECHRHeading3"/>
        <w:rPr>
          <w:lang w:val="fr-FR"/>
        </w:rPr>
      </w:pPr>
      <w:r w:rsidRPr="00BF14F6">
        <w:rPr>
          <w:lang w:val="fr-FR"/>
        </w:rPr>
        <w:t>1.  L</w:t>
      </w:r>
      <w:r w:rsidR="00603708">
        <w:rPr>
          <w:lang w:val="fr-FR"/>
        </w:rPr>
        <w:t>’</w:t>
      </w:r>
      <w:r w:rsidRPr="00BF14F6">
        <w:rPr>
          <w:lang w:val="fr-FR"/>
        </w:rPr>
        <w:t>exception du Gouvernement tirée de la perte de la qualité de victime</w:t>
      </w:r>
    </w:p>
    <w:p w:rsidR="00406B66" w:rsidRPr="00406B66" w:rsidRDefault="00406B66" w:rsidP="00406B66">
      <w:pPr>
        <w:pStyle w:val="ECHRHeading4"/>
        <w:rPr>
          <w:lang w:val="fr-FR"/>
        </w:rPr>
      </w:pPr>
      <w:r>
        <w:rPr>
          <w:lang w:val="fr-FR"/>
        </w:rPr>
        <w:t>a)</w:t>
      </w:r>
      <w:r w:rsidR="00706F11">
        <w:rPr>
          <w:lang w:val="fr-FR"/>
        </w:rPr>
        <w:t>  </w:t>
      </w:r>
      <w:r>
        <w:rPr>
          <w:lang w:val="fr-FR"/>
        </w:rPr>
        <w:t>Thèses des parties</w:t>
      </w:r>
    </w:p>
    <w:p w:rsidR="00BF14F6" w:rsidRPr="00BF14F6" w:rsidRDefault="00406B66" w:rsidP="00406B66">
      <w:pPr>
        <w:pStyle w:val="ECHRHeading5"/>
        <w:rPr>
          <w:lang w:val="fr-FR"/>
        </w:rPr>
      </w:pPr>
      <w:r>
        <w:rPr>
          <w:lang w:val="fr-FR"/>
        </w:rPr>
        <w:t>i.</w:t>
      </w:r>
      <w:r w:rsidR="00BF14F6" w:rsidRPr="00BF14F6">
        <w:rPr>
          <w:lang w:val="fr-FR"/>
        </w:rPr>
        <w:t>  L</w:t>
      </w:r>
      <w:r w:rsidR="00325430">
        <w:rPr>
          <w:lang w:val="fr-FR"/>
        </w:rPr>
        <w:t xml:space="preserve">e </w:t>
      </w:r>
      <w:r w:rsidR="00BF14F6" w:rsidRPr="00BF14F6">
        <w:rPr>
          <w:lang w:val="fr-FR"/>
        </w:rPr>
        <w:t>Gouvernement</w:t>
      </w:r>
    </w:p>
    <w:p w:rsidR="0032468C" w:rsidRDefault="00BF14F6" w:rsidP="00BF14F6">
      <w:pPr>
        <w:pStyle w:val="ECHRPara"/>
        <w:rPr>
          <w:lang w:val="fr-FR"/>
        </w:rPr>
      </w:pPr>
      <w:r w:rsidRPr="00322C8A">
        <w:rPr>
          <w:lang w:val="fr-FR"/>
        </w:rPr>
        <w:fldChar w:fldCharType="begin"/>
      </w:r>
      <w:r w:rsidRPr="00322C8A">
        <w:rPr>
          <w:lang w:val="fr-FR"/>
        </w:rPr>
        <w:instrText xml:space="preserve"> SEQ level0 \*arabic </w:instrText>
      </w:r>
      <w:r w:rsidRPr="00322C8A">
        <w:rPr>
          <w:lang w:val="fr-FR"/>
        </w:rPr>
        <w:fldChar w:fldCharType="separate"/>
      </w:r>
      <w:r w:rsidR="00B378F9">
        <w:rPr>
          <w:noProof/>
          <w:lang w:val="fr-FR"/>
        </w:rPr>
        <w:t>131</w:t>
      </w:r>
      <w:r w:rsidRPr="00322C8A">
        <w:rPr>
          <w:lang w:val="fr-FR"/>
        </w:rPr>
        <w:fldChar w:fldCharType="end"/>
      </w:r>
      <w:r w:rsidRPr="00322C8A">
        <w:rPr>
          <w:lang w:val="fr-FR"/>
        </w:rPr>
        <w:t>.  Le Gouvernement estime que</w:t>
      </w:r>
      <w:r w:rsidR="00E926B2">
        <w:rPr>
          <w:lang w:val="fr-FR"/>
        </w:rPr>
        <w:t>,</w:t>
      </w:r>
      <w:r w:rsidRPr="00322C8A">
        <w:rPr>
          <w:lang w:val="fr-FR"/>
        </w:rPr>
        <w:t xml:space="preserve"> </w:t>
      </w:r>
      <w:r w:rsidR="0073190B">
        <w:rPr>
          <w:lang w:val="fr-FR"/>
        </w:rPr>
        <w:t>à la lumière d</w:t>
      </w:r>
      <w:r w:rsidR="00603708">
        <w:rPr>
          <w:lang w:val="fr-FR"/>
        </w:rPr>
        <w:t>’</w:t>
      </w:r>
      <w:r w:rsidR="00E926B2">
        <w:rPr>
          <w:lang w:val="fr-FR"/>
        </w:rPr>
        <w:t>une jurisprudence bien établie (</w:t>
      </w:r>
      <w:r w:rsidR="00E926B2" w:rsidRPr="00AC0DAF">
        <w:rPr>
          <w:i/>
          <w:lang w:val="fr-FR"/>
        </w:rPr>
        <w:t>Amuur c. France</w:t>
      </w:r>
      <w:r w:rsidR="00E926B2" w:rsidRPr="00AC0DAF">
        <w:rPr>
          <w:lang w:val="fr-FR"/>
        </w:rPr>
        <w:t xml:space="preserve">, 25 juin 1996, § 36, </w:t>
      </w:r>
      <w:r w:rsidR="00E926B2" w:rsidRPr="00AC0DAF">
        <w:rPr>
          <w:i/>
          <w:lang w:val="fr-FR"/>
        </w:rPr>
        <w:t>Recueil des arrêts et décisions</w:t>
      </w:r>
      <w:r w:rsidR="00E926B2" w:rsidRPr="00AC0DAF">
        <w:rPr>
          <w:lang w:val="fr-FR"/>
        </w:rPr>
        <w:t xml:space="preserve"> 1996</w:t>
      </w:r>
      <w:r w:rsidR="00E926B2" w:rsidRPr="00AC0DAF">
        <w:rPr>
          <w:lang w:val="fr-FR"/>
        </w:rPr>
        <w:noBreakHyphen/>
        <w:t>III</w:t>
      </w:r>
      <w:r w:rsidR="0073190B">
        <w:rPr>
          <w:lang w:val="fr-FR"/>
        </w:rPr>
        <w:t>,</w:t>
      </w:r>
      <w:r w:rsidR="00E926B2" w:rsidRPr="00AC0DAF">
        <w:rPr>
          <w:lang w:val="fr-FR"/>
        </w:rPr>
        <w:t xml:space="preserve"> </w:t>
      </w:r>
      <w:r w:rsidR="00E926B2" w:rsidRPr="00AC0DAF">
        <w:rPr>
          <w:i/>
          <w:lang w:val="fr-FR"/>
        </w:rPr>
        <w:t>Dalban c. Roumanie</w:t>
      </w:r>
      <w:r w:rsidR="00E926B2" w:rsidRPr="00AC0DAF">
        <w:rPr>
          <w:lang w:val="fr-FR"/>
        </w:rPr>
        <w:t xml:space="preserve"> [GC], n</w:t>
      </w:r>
      <w:r w:rsidR="00E926B2" w:rsidRPr="00AC0DAF">
        <w:rPr>
          <w:vertAlign w:val="superscript"/>
          <w:lang w:val="fr-FR"/>
        </w:rPr>
        <w:t>o</w:t>
      </w:r>
      <w:r w:rsidR="00E926B2" w:rsidRPr="00AC0DAF">
        <w:rPr>
          <w:lang w:val="fr-FR"/>
        </w:rPr>
        <w:t xml:space="preserve"> 28114/95, § 44, CEDH 1999</w:t>
      </w:r>
      <w:r w:rsidR="00E926B2" w:rsidRPr="00AC0DAF">
        <w:rPr>
          <w:lang w:val="fr-FR"/>
        </w:rPr>
        <w:noBreakHyphen/>
        <w:t>VI</w:t>
      </w:r>
      <w:r w:rsidR="0073190B">
        <w:rPr>
          <w:lang w:val="fr-FR"/>
        </w:rPr>
        <w:t>,</w:t>
      </w:r>
      <w:r w:rsidR="00E926B2" w:rsidRPr="00AC0DAF">
        <w:rPr>
          <w:lang w:val="fr-FR"/>
        </w:rPr>
        <w:t xml:space="preserve"> </w:t>
      </w:r>
      <w:r w:rsidR="00E926B2" w:rsidRPr="00AC0DAF">
        <w:rPr>
          <w:i/>
          <w:lang w:val="fr-FR"/>
        </w:rPr>
        <w:t>Labita c. Italie</w:t>
      </w:r>
      <w:r w:rsidR="00E926B2" w:rsidRPr="00AC0DAF">
        <w:rPr>
          <w:lang w:val="fr-FR"/>
        </w:rPr>
        <w:t xml:space="preserve"> [GC], n</w:t>
      </w:r>
      <w:r w:rsidR="00E926B2" w:rsidRPr="00AC0DAF">
        <w:rPr>
          <w:vertAlign w:val="superscript"/>
          <w:lang w:val="fr-FR"/>
        </w:rPr>
        <w:t>o</w:t>
      </w:r>
      <w:r w:rsidR="00E926B2" w:rsidRPr="00AC0DAF">
        <w:rPr>
          <w:lang w:val="fr-FR"/>
        </w:rPr>
        <w:t xml:space="preserve"> 26772/95, § 142, CEDH 2000</w:t>
      </w:r>
      <w:r w:rsidR="00E926B2" w:rsidRPr="00AC0DAF">
        <w:rPr>
          <w:lang w:val="fr-FR"/>
        </w:rPr>
        <w:noBreakHyphen/>
        <w:t>IV</w:t>
      </w:r>
      <w:r w:rsidR="0073190B">
        <w:rPr>
          <w:lang w:val="fr-FR"/>
        </w:rPr>
        <w:t>, et</w:t>
      </w:r>
      <w:r w:rsidR="0047346E" w:rsidRPr="00CC2A82">
        <w:rPr>
          <w:lang w:val="fr-FR"/>
        </w:rPr>
        <w:t xml:space="preserve"> </w:t>
      </w:r>
      <w:r w:rsidR="0047346E" w:rsidRPr="00AC0DAF">
        <w:rPr>
          <w:i/>
          <w:lang w:val="fr-FR"/>
        </w:rPr>
        <w:t>Gäfgen c</w:t>
      </w:r>
      <w:r w:rsidR="0073190B" w:rsidRPr="00AC0DAF">
        <w:rPr>
          <w:i/>
          <w:lang w:val="fr-FR"/>
        </w:rPr>
        <w:t>.</w:t>
      </w:r>
      <w:r w:rsidR="0073190B">
        <w:rPr>
          <w:i/>
          <w:lang w:val="fr-FR"/>
        </w:rPr>
        <w:t> </w:t>
      </w:r>
      <w:r w:rsidR="0047346E" w:rsidRPr="00AC0DAF">
        <w:rPr>
          <w:i/>
          <w:lang w:val="fr-FR"/>
        </w:rPr>
        <w:t>Allemagne</w:t>
      </w:r>
      <w:r w:rsidR="0047346E" w:rsidRPr="00AC0DAF">
        <w:rPr>
          <w:lang w:val="fr-FR"/>
        </w:rPr>
        <w:t xml:space="preserve"> [GC], n</w:t>
      </w:r>
      <w:r w:rsidR="0047346E" w:rsidRPr="00AC0DAF">
        <w:rPr>
          <w:vertAlign w:val="superscript"/>
          <w:lang w:val="fr-FR"/>
        </w:rPr>
        <w:t>o</w:t>
      </w:r>
      <w:r w:rsidR="0047346E" w:rsidRPr="00AC0DAF">
        <w:rPr>
          <w:lang w:val="fr-FR"/>
        </w:rPr>
        <w:t xml:space="preserve"> 22978/05, §</w:t>
      </w:r>
      <w:r w:rsidR="00DD41D1" w:rsidRPr="00AC0DAF">
        <w:rPr>
          <w:lang w:val="fr-FR"/>
        </w:rPr>
        <w:t>§</w:t>
      </w:r>
      <w:r w:rsidR="0047346E" w:rsidRPr="00AC0DAF">
        <w:rPr>
          <w:lang w:val="fr-FR"/>
        </w:rPr>
        <w:t xml:space="preserve"> </w:t>
      </w:r>
      <w:r w:rsidR="00DD41D1" w:rsidRPr="00AC0DAF">
        <w:rPr>
          <w:lang w:val="fr-FR"/>
        </w:rPr>
        <w:t>115-116,</w:t>
      </w:r>
      <w:r w:rsidR="0047346E" w:rsidRPr="00AC0DAF">
        <w:rPr>
          <w:lang w:val="fr-FR"/>
        </w:rPr>
        <w:t xml:space="preserve"> CEDH 2010</w:t>
      </w:r>
      <w:r w:rsidR="00E926B2" w:rsidRPr="00CC2A82">
        <w:rPr>
          <w:lang w:val="fr-FR"/>
        </w:rPr>
        <w:t>)</w:t>
      </w:r>
      <w:r w:rsidR="00E926B2">
        <w:rPr>
          <w:lang w:val="fr-FR"/>
        </w:rPr>
        <w:t xml:space="preserve">, </w:t>
      </w:r>
      <w:r w:rsidRPr="00322C8A">
        <w:rPr>
          <w:lang w:val="fr-FR"/>
        </w:rPr>
        <w:t xml:space="preserve">la requête devrait être rejetée </w:t>
      </w:r>
      <w:r w:rsidR="00C63EBC" w:rsidRPr="00322C8A">
        <w:rPr>
          <w:lang w:val="fr-FR"/>
        </w:rPr>
        <w:t>en raison de la perte</w:t>
      </w:r>
      <w:r w:rsidR="0073190B">
        <w:rPr>
          <w:lang w:val="fr-FR"/>
        </w:rPr>
        <w:t>, selon lui,</w:t>
      </w:r>
      <w:r w:rsidRPr="00322C8A">
        <w:rPr>
          <w:lang w:val="fr-FR"/>
        </w:rPr>
        <w:t xml:space="preserve"> de la qualité de victime</w:t>
      </w:r>
      <w:r w:rsidR="00C63EBC" w:rsidRPr="00322C8A">
        <w:rPr>
          <w:lang w:val="fr-FR"/>
        </w:rPr>
        <w:t xml:space="preserve"> du requérant</w:t>
      </w:r>
      <w:r w:rsidRPr="00322C8A">
        <w:rPr>
          <w:lang w:val="fr-FR"/>
        </w:rPr>
        <w:t>.</w:t>
      </w:r>
    </w:p>
    <w:p w:rsidR="00603708" w:rsidRDefault="00BF14F6" w:rsidP="00BF14F6">
      <w:pPr>
        <w:pStyle w:val="ECHRPara"/>
        <w:rPr>
          <w:lang w:val="fr-FR"/>
        </w:rPr>
      </w:pPr>
      <w:r w:rsidRPr="00322C8A">
        <w:rPr>
          <w:lang w:val="fr-FR"/>
        </w:rPr>
        <w:t>En effet,</w:t>
      </w:r>
      <w:r w:rsidR="00C63EBC" w:rsidRPr="00322C8A">
        <w:rPr>
          <w:lang w:val="fr-FR"/>
        </w:rPr>
        <w:t xml:space="preserve"> </w:t>
      </w:r>
      <w:r w:rsidR="000D5576">
        <w:rPr>
          <w:lang w:val="fr-FR"/>
        </w:rPr>
        <w:t>aux yeux du</w:t>
      </w:r>
      <w:r w:rsidR="00C63EBC" w:rsidRPr="00322C8A">
        <w:rPr>
          <w:lang w:val="fr-FR"/>
        </w:rPr>
        <w:t xml:space="preserve"> Gouvernement,</w:t>
      </w:r>
      <w:r w:rsidRPr="00322C8A">
        <w:rPr>
          <w:lang w:val="fr-FR"/>
        </w:rPr>
        <w:t xml:space="preserve"> </w:t>
      </w:r>
      <w:r w:rsidR="00C63EBC" w:rsidRPr="00322C8A">
        <w:rPr>
          <w:lang w:val="fr-FR"/>
        </w:rPr>
        <w:t>la procédure pénale diligentée</w:t>
      </w:r>
      <w:r w:rsidRPr="00322C8A">
        <w:rPr>
          <w:lang w:val="fr-FR"/>
        </w:rPr>
        <w:t xml:space="preserve"> contre les personnes responsables des événements </w:t>
      </w:r>
      <w:r w:rsidR="00C63EBC" w:rsidRPr="00322C8A">
        <w:rPr>
          <w:lang w:val="fr-FR"/>
        </w:rPr>
        <w:t>de l</w:t>
      </w:r>
      <w:r w:rsidR="00603708">
        <w:rPr>
          <w:lang w:val="fr-FR"/>
        </w:rPr>
        <w:t>’</w:t>
      </w:r>
      <w:r w:rsidR="00C63EBC" w:rsidRPr="00322C8A">
        <w:rPr>
          <w:lang w:val="fr-FR"/>
        </w:rPr>
        <w:t>école Diaz-Pertini</w:t>
      </w:r>
      <w:r w:rsidRPr="00322C8A">
        <w:rPr>
          <w:lang w:val="fr-FR"/>
        </w:rPr>
        <w:t xml:space="preserve"> </w:t>
      </w:r>
      <w:r w:rsidR="00C63EBC" w:rsidRPr="00322C8A">
        <w:rPr>
          <w:lang w:val="fr-FR"/>
        </w:rPr>
        <w:t xml:space="preserve">a </w:t>
      </w:r>
      <w:r w:rsidR="000D5576">
        <w:rPr>
          <w:lang w:val="fr-FR"/>
        </w:rPr>
        <w:t>établi</w:t>
      </w:r>
      <w:r w:rsidR="009416C2" w:rsidRPr="00322C8A">
        <w:rPr>
          <w:lang w:val="fr-FR"/>
        </w:rPr>
        <w:t>, notamment,</w:t>
      </w:r>
      <w:r w:rsidR="00C63EBC" w:rsidRPr="00322C8A">
        <w:rPr>
          <w:lang w:val="fr-FR"/>
        </w:rPr>
        <w:t xml:space="preserve"> les violations </w:t>
      </w:r>
      <w:r w:rsidR="009416C2" w:rsidRPr="00322C8A">
        <w:rPr>
          <w:lang w:val="fr-FR"/>
        </w:rPr>
        <w:t>de l</w:t>
      </w:r>
      <w:r w:rsidR="00603708">
        <w:rPr>
          <w:lang w:val="fr-FR"/>
        </w:rPr>
        <w:t>’</w:t>
      </w:r>
      <w:r w:rsidR="009416C2" w:rsidRPr="00322C8A">
        <w:rPr>
          <w:lang w:val="fr-FR"/>
        </w:rPr>
        <w:t xml:space="preserve">article 3 de la Convention </w:t>
      </w:r>
      <w:r w:rsidR="00322C8A">
        <w:rPr>
          <w:lang w:val="fr-FR"/>
        </w:rPr>
        <w:t>dénonc</w:t>
      </w:r>
      <w:r w:rsidR="00322C8A" w:rsidRPr="00322C8A">
        <w:rPr>
          <w:lang w:val="fr-FR"/>
        </w:rPr>
        <w:t>ées</w:t>
      </w:r>
      <w:r w:rsidR="00322C8A">
        <w:rPr>
          <w:lang w:val="fr-FR"/>
        </w:rPr>
        <w:t xml:space="preserve"> par le requérant</w:t>
      </w:r>
      <w:r w:rsidR="00C63EBC" w:rsidRPr="00322C8A">
        <w:rPr>
          <w:lang w:val="fr-FR"/>
        </w:rPr>
        <w:t xml:space="preserve">. </w:t>
      </w:r>
      <w:r w:rsidR="000118AB" w:rsidRPr="00322C8A">
        <w:rPr>
          <w:lang w:val="fr-FR"/>
        </w:rPr>
        <w:t>À l</w:t>
      </w:r>
      <w:r w:rsidR="00603708">
        <w:rPr>
          <w:lang w:val="fr-FR"/>
        </w:rPr>
        <w:t>’</w:t>
      </w:r>
      <w:r w:rsidR="000118AB" w:rsidRPr="00322C8A">
        <w:rPr>
          <w:lang w:val="fr-FR"/>
        </w:rPr>
        <w:t>issue de</w:t>
      </w:r>
      <w:r w:rsidR="009416C2" w:rsidRPr="00322C8A">
        <w:rPr>
          <w:lang w:val="fr-FR"/>
        </w:rPr>
        <w:t xml:space="preserve"> cette procédure</w:t>
      </w:r>
      <w:r w:rsidR="0073190B">
        <w:rPr>
          <w:lang w:val="fr-FR"/>
        </w:rPr>
        <w:t>,</w:t>
      </w:r>
      <w:r w:rsidR="009416C2" w:rsidRPr="00322C8A">
        <w:rPr>
          <w:lang w:val="fr-FR"/>
        </w:rPr>
        <w:t xml:space="preserve"> le requérant, qui s</w:t>
      </w:r>
      <w:r w:rsidR="00603708">
        <w:rPr>
          <w:lang w:val="fr-FR"/>
        </w:rPr>
        <w:t>’</w:t>
      </w:r>
      <w:r w:rsidR="009416C2" w:rsidRPr="00322C8A">
        <w:rPr>
          <w:lang w:val="fr-FR"/>
        </w:rPr>
        <w:t>était constitué partie civile, a</w:t>
      </w:r>
      <w:r w:rsidR="0073190B">
        <w:rPr>
          <w:lang w:val="fr-FR"/>
        </w:rPr>
        <w:t>urait</w:t>
      </w:r>
      <w:r w:rsidR="009416C2" w:rsidRPr="00322C8A">
        <w:rPr>
          <w:lang w:val="fr-FR"/>
        </w:rPr>
        <w:t xml:space="preserve"> obtenu la reconnaissance du droit </w:t>
      </w:r>
      <w:r w:rsidR="000D5576">
        <w:rPr>
          <w:lang w:val="fr-FR"/>
        </w:rPr>
        <w:t>à réparation</w:t>
      </w:r>
      <w:r w:rsidR="009416C2" w:rsidRPr="00322C8A">
        <w:rPr>
          <w:lang w:val="fr-FR"/>
        </w:rPr>
        <w:t xml:space="preserve"> du préjudice subi </w:t>
      </w:r>
      <w:r w:rsidR="0073190B">
        <w:rPr>
          <w:lang w:val="fr-FR"/>
        </w:rPr>
        <w:t>et se serait vu verser,</w:t>
      </w:r>
      <w:r w:rsidR="0073190B" w:rsidRPr="0073190B">
        <w:rPr>
          <w:lang w:val="fr-FR"/>
        </w:rPr>
        <w:t xml:space="preserve"> </w:t>
      </w:r>
      <w:r w:rsidR="0073190B" w:rsidRPr="00322C8A">
        <w:rPr>
          <w:lang w:val="fr-FR"/>
        </w:rPr>
        <w:t>en 2009, en exécution du jugement de première instance</w:t>
      </w:r>
      <w:r w:rsidR="0073190B">
        <w:rPr>
          <w:lang w:val="fr-FR"/>
        </w:rPr>
        <w:t>,</w:t>
      </w:r>
      <w:r w:rsidR="009416C2" w:rsidRPr="00322C8A">
        <w:rPr>
          <w:lang w:val="fr-FR"/>
        </w:rPr>
        <w:t xml:space="preserve"> le montant de 35 000 EUR à titre de provision sur les dommages-intérêts</w:t>
      </w:r>
      <w:r w:rsidR="0073190B">
        <w:rPr>
          <w:lang w:val="fr-FR"/>
        </w:rPr>
        <w:t xml:space="preserve"> (</w:t>
      </w:r>
      <w:r w:rsidR="0073190B" w:rsidRPr="00AC0DAF">
        <w:rPr>
          <w:lang w:val="fr-FR"/>
        </w:rPr>
        <w:t>paragraphe 49 ci-dessus</w:t>
      </w:r>
      <w:r w:rsidR="0073190B">
        <w:rPr>
          <w:lang w:val="fr-FR"/>
        </w:rPr>
        <w:t>).</w:t>
      </w:r>
    </w:p>
    <w:p w:rsidR="000118AB" w:rsidRPr="00892AA2" w:rsidRDefault="000118AB" w:rsidP="000118AB">
      <w:pPr>
        <w:pStyle w:val="ECHRPara"/>
        <w:rPr>
          <w:lang w:val="fr-FR"/>
        </w:rPr>
      </w:pPr>
      <w:r w:rsidRPr="00322C8A">
        <w:rPr>
          <w:lang w:val="fr-FR"/>
        </w:rPr>
        <w:t>Dès lors,</w:t>
      </w:r>
      <w:r w:rsidR="00892AA2">
        <w:rPr>
          <w:lang w:val="fr-FR"/>
        </w:rPr>
        <w:t xml:space="preserve"> </w:t>
      </w:r>
      <w:r w:rsidR="0073190B">
        <w:rPr>
          <w:lang w:val="fr-FR"/>
        </w:rPr>
        <w:t xml:space="preserve">aux yeux du Gouvernement, </w:t>
      </w:r>
      <w:r w:rsidRPr="00322C8A">
        <w:rPr>
          <w:lang w:val="fr-FR"/>
        </w:rPr>
        <w:t xml:space="preserve">les autorités internes </w:t>
      </w:r>
      <w:r w:rsidR="0073190B">
        <w:rPr>
          <w:lang w:val="fr-FR"/>
        </w:rPr>
        <w:t xml:space="preserve">ont </w:t>
      </w:r>
      <w:r w:rsidRPr="00322C8A">
        <w:rPr>
          <w:lang w:val="fr-FR"/>
        </w:rPr>
        <w:t xml:space="preserve">pleinement reconnu, explicitement et en substance, les violations dénoncées par le requérant </w:t>
      </w:r>
      <w:r w:rsidR="00322C8A">
        <w:rPr>
          <w:lang w:val="fr-FR"/>
        </w:rPr>
        <w:t xml:space="preserve">et </w:t>
      </w:r>
      <w:r w:rsidR="000D5576">
        <w:rPr>
          <w:lang w:val="fr-FR"/>
        </w:rPr>
        <w:t xml:space="preserve">les </w:t>
      </w:r>
      <w:r w:rsidR="00CC2A82">
        <w:rPr>
          <w:lang w:val="fr-FR"/>
        </w:rPr>
        <w:t xml:space="preserve">auraient </w:t>
      </w:r>
      <w:r w:rsidR="000D5576">
        <w:rPr>
          <w:lang w:val="fr-FR"/>
        </w:rPr>
        <w:t>redressées</w:t>
      </w:r>
      <w:r w:rsidR="00322C8A">
        <w:rPr>
          <w:lang w:val="fr-FR"/>
        </w:rPr>
        <w:t>.</w:t>
      </w:r>
    </w:p>
    <w:p w:rsidR="007D3855" w:rsidRDefault="000118AB" w:rsidP="00BF14F6">
      <w:pPr>
        <w:pStyle w:val="ECHRPara"/>
        <w:rPr>
          <w:lang w:val="fr-FR"/>
        </w:rPr>
      </w:pPr>
      <w:r w:rsidRPr="00322C8A">
        <w:rPr>
          <w:lang w:val="fr-FR"/>
        </w:rPr>
        <w:fldChar w:fldCharType="begin"/>
      </w:r>
      <w:r w:rsidRPr="00322C8A">
        <w:rPr>
          <w:lang w:val="fr-FR"/>
        </w:rPr>
        <w:instrText xml:space="preserve"> SEQ level0 \*arabic </w:instrText>
      </w:r>
      <w:r w:rsidRPr="00322C8A">
        <w:rPr>
          <w:lang w:val="fr-FR"/>
        </w:rPr>
        <w:fldChar w:fldCharType="separate"/>
      </w:r>
      <w:r w:rsidR="00B378F9">
        <w:rPr>
          <w:noProof/>
          <w:lang w:val="fr-FR"/>
        </w:rPr>
        <w:t>132</w:t>
      </w:r>
      <w:r w:rsidRPr="00322C8A">
        <w:rPr>
          <w:lang w:val="fr-FR"/>
        </w:rPr>
        <w:fldChar w:fldCharType="end"/>
      </w:r>
      <w:r w:rsidRPr="00322C8A">
        <w:rPr>
          <w:lang w:val="fr-FR"/>
        </w:rPr>
        <w:t>.  </w:t>
      </w:r>
      <w:r w:rsidR="009416C2" w:rsidRPr="00322C8A">
        <w:rPr>
          <w:lang w:val="fr-FR"/>
        </w:rPr>
        <w:t>De surcro</w:t>
      </w:r>
      <w:r w:rsidR="009416C2" w:rsidRPr="00322C8A">
        <w:rPr>
          <w:rFonts w:cstheme="minorHAnsi"/>
          <w:lang w:val="fr-FR"/>
        </w:rPr>
        <w:t>î</w:t>
      </w:r>
      <w:r w:rsidR="009416C2" w:rsidRPr="00322C8A">
        <w:rPr>
          <w:lang w:val="fr-FR"/>
        </w:rPr>
        <w:t xml:space="preserve">t, </w:t>
      </w:r>
      <w:r w:rsidRPr="00322C8A">
        <w:rPr>
          <w:lang w:val="fr-FR"/>
        </w:rPr>
        <w:t xml:space="preserve">la déclaration de prescription de certains des délits dans le cadre de la procédure pénale en question </w:t>
      </w:r>
      <w:r w:rsidR="0073190B">
        <w:rPr>
          <w:lang w:val="fr-FR"/>
        </w:rPr>
        <w:t>n</w:t>
      </w:r>
      <w:r w:rsidR="00603708">
        <w:rPr>
          <w:lang w:val="fr-FR"/>
        </w:rPr>
        <w:t>’</w:t>
      </w:r>
      <w:r w:rsidR="0073190B">
        <w:rPr>
          <w:lang w:val="fr-FR"/>
        </w:rPr>
        <w:t>aurait</w:t>
      </w:r>
      <w:r w:rsidR="00CC2A82" w:rsidRPr="00322C8A">
        <w:rPr>
          <w:lang w:val="fr-FR"/>
        </w:rPr>
        <w:t xml:space="preserve"> </w:t>
      </w:r>
      <w:r w:rsidRPr="00322C8A">
        <w:rPr>
          <w:lang w:val="fr-FR"/>
        </w:rPr>
        <w:t xml:space="preserve">pas </w:t>
      </w:r>
      <w:r w:rsidR="0073190B">
        <w:rPr>
          <w:lang w:val="fr-FR"/>
        </w:rPr>
        <w:t xml:space="preserve">privé </w:t>
      </w:r>
      <w:r w:rsidR="00CC2A82">
        <w:rPr>
          <w:lang w:val="fr-FR"/>
        </w:rPr>
        <w:t>le</w:t>
      </w:r>
      <w:r w:rsidRPr="00322C8A">
        <w:rPr>
          <w:lang w:val="fr-FR"/>
        </w:rPr>
        <w:t xml:space="preserve"> requérant </w:t>
      </w:r>
      <w:r w:rsidR="0064029F">
        <w:rPr>
          <w:lang w:val="fr-FR"/>
        </w:rPr>
        <w:t xml:space="preserve">de la </w:t>
      </w:r>
      <w:r w:rsidR="000D5576">
        <w:rPr>
          <w:lang w:val="fr-FR"/>
        </w:rPr>
        <w:t xml:space="preserve">possibilité </w:t>
      </w:r>
      <w:r w:rsidRPr="00322C8A">
        <w:rPr>
          <w:lang w:val="fr-FR"/>
        </w:rPr>
        <w:t>d</w:t>
      </w:r>
      <w:r w:rsidR="00603708">
        <w:rPr>
          <w:lang w:val="fr-FR"/>
        </w:rPr>
        <w:t>’</w:t>
      </w:r>
      <w:r w:rsidRPr="00322C8A">
        <w:rPr>
          <w:lang w:val="fr-FR"/>
        </w:rPr>
        <w:t>entamer une procédure civile</w:t>
      </w:r>
      <w:r w:rsidR="007C6A36">
        <w:rPr>
          <w:lang w:val="fr-FR"/>
        </w:rPr>
        <w:t xml:space="preserve"> ultérieure</w:t>
      </w:r>
      <w:r w:rsidRPr="00322C8A">
        <w:rPr>
          <w:lang w:val="fr-FR"/>
        </w:rPr>
        <w:t xml:space="preserve"> </w:t>
      </w:r>
      <w:r w:rsidR="0073190B">
        <w:rPr>
          <w:lang w:val="fr-FR"/>
        </w:rPr>
        <w:t>aux fins</w:t>
      </w:r>
      <w:r w:rsidR="003B345D">
        <w:rPr>
          <w:lang w:val="fr-FR"/>
        </w:rPr>
        <w:t xml:space="preserve"> </w:t>
      </w:r>
      <w:r w:rsidRPr="00322C8A">
        <w:rPr>
          <w:lang w:val="fr-FR"/>
        </w:rPr>
        <w:t>d</w:t>
      </w:r>
      <w:r w:rsidR="00603708">
        <w:rPr>
          <w:lang w:val="fr-FR"/>
        </w:rPr>
        <w:t>’</w:t>
      </w:r>
      <w:r w:rsidRPr="00322C8A">
        <w:rPr>
          <w:lang w:val="fr-FR"/>
        </w:rPr>
        <w:t xml:space="preserve">obtenir la liquidation </w:t>
      </w:r>
      <w:r w:rsidR="00ED165F">
        <w:rPr>
          <w:lang w:val="fr-FR"/>
        </w:rPr>
        <w:t xml:space="preserve">globale et </w:t>
      </w:r>
      <w:r w:rsidRPr="00322C8A">
        <w:rPr>
          <w:lang w:val="fr-FR"/>
        </w:rPr>
        <w:t>définitive des domma</w:t>
      </w:r>
      <w:r w:rsidR="000121B9">
        <w:rPr>
          <w:lang w:val="fr-FR"/>
        </w:rPr>
        <w:t xml:space="preserve">ges-intérêts pour le préjudice </w:t>
      </w:r>
      <w:r w:rsidRPr="00322C8A">
        <w:rPr>
          <w:lang w:val="fr-FR"/>
        </w:rPr>
        <w:t>subi</w:t>
      </w:r>
      <w:r w:rsidR="007D3855">
        <w:rPr>
          <w:lang w:val="fr-FR"/>
        </w:rPr>
        <w:t>.</w:t>
      </w:r>
    </w:p>
    <w:p w:rsidR="0032468C" w:rsidRDefault="00E35BAC" w:rsidP="000473C1">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133</w:t>
      </w:r>
      <w:r>
        <w:rPr>
          <w:lang w:val="fr-FR"/>
        </w:rPr>
        <w:fldChar w:fldCharType="end"/>
      </w:r>
      <w:r>
        <w:rPr>
          <w:lang w:val="fr-FR"/>
        </w:rPr>
        <w:t>.  </w:t>
      </w:r>
      <w:r>
        <w:rPr>
          <w:rFonts w:cstheme="minorHAnsi"/>
          <w:lang w:val="fr-FR"/>
        </w:rPr>
        <w:t>À</w:t>
      </w:r>
      <w:r>
        <w:rPr>
          <w:lang w:val="fr-FR"/>
        </w:rPr>
        <w:t xml:space="preserve"> l</w:t>
      </w:r>
      <w:r w:rsidR="00603708">
        <w:rPr>
          <w:lang w:val="fr-FR"/>
        </w:rPr>
        <w:t>’</w:t>
      </w:r>
      <w:r>
        <w:rPr>
          <w:lang w:val="fr-FR"/>
        </w:rPr>
        <w:t xml:space="preserve">appui de ses arguments, le Gouvernement </w:t>
      </w:r>
      <w:r w:rsidR="00861EAD">
        <w:rPr>
          <w:lang w:val="fr-FR"/>
        </w:rPr>
        <w:t>se réf</w:t>
      </w:r>
      <w:r w:rsidR="00F25DBF">
        <w:rPr>
          <w:lang w:val="fr-FR"/>
        </w:rPr>
        <w:t>ère</w:t>
      </w:r>
      <w:r>
        <w:rPr>
          <w:lang w:val="fr-FR"/>
        </w:rPr>
        <w:t xml:space="preserve"> également </w:t>
      </w:r>
      <w:r w:rsidR="0064029F">
        <w:rPr>
          <w:lang w:val="fr-FR"/>
        </w:rPr>
        <w:t xml:space="preserve">à </w:t>
      </w:r>
      <w:r>
        <w:rPr>
          <w:lang w:val="fr-FR"/>
        </w:rPr>
        <w:t>l</w:t>
      </w:r>
      <w:r w:rsidR="00603708">
        <w:rPr>
          <w:lang w:val="fr-FR"/>
        </w:rPr>
        <w:t>’</w:t>
      </w:r>
      <w:r>
        <w:rPr>
          <w:lang w:val="fr-FR"/>
        </w:rPr>
        <w:t xml:space="preserve">affaire </w:t>
      </w:r>
      <w:r w:rsidRPr="00AC0DAF">
        <w:rPr>
          <w:i/>
          <w:lang w:val="fr-FR"/>
        </w:rPr>
        <w:t xml:space="preserve">Palazzolo c. </w:t>
      </w:r>
      <w:r w:rsidR="00334A37" w:rsidRPr="00AC0DAF">
        <w:rPr>
          <w:i/>
          <w:lang w:val="fr-FR"/>
        </w:rPr>
        <w:t xml:space="preserve">Italie </w:t>
      </w:r>
      <w:r w:rsidR="00334A37" w:rsidRPr="00AC0DAF">
        <w:rPr>
          <w:lang w:val="fr-FR"/>
        </w:rPr>
        <w:t>([déc.],</w:t>
      </w:r>
      <w:r w:rsidRPr="00AC0DAF">
        <w:rPr>
          <w:lang w:val="fr-FR"/>
        </w:rPr>
        <w:t xml:space="preserve"> n</w:t>
      </w:r>
      <w:r w:rsidRPr="00AC0DAF">
        <w:rPr>
          <w:vertAlign w:val="superscript"/>
          <w:lang w:val="fr-FR"/>
        </w:rPr>
        <w:t>o</w:t>
      </w:r>
      <w:r w:rsidRPr="00AC0DAF">
        <w:rPr>
          <w:lang w:val="fr-FR"/>
        </w:rPr>
        <w:t xml:space="preserve"> 32328/09, §§ 86, 103-104</w:t>
      </w:r>
      <w:r w:rsidR="000121B9">
        <w:rPr>
          <w:lang w:val="fr-FR"/>
        </w:rPr>
        <w:t>, 24 </w:t>
      </w:r>
      <w:r w:rsidR="00334A37" w:rsidRPr="00AC0DAF">
        <w:rPr>
          <w:lang w:val="fr-FR"/>
        </w:rPr>
        <w:t>septembre 2014</w:t>
      </w:r>
      <w:r w:rsidR="00334A37" w:rsidRPr="0064029F">
        <w:rPr>
          <w:lang w:val="fr-FR"/>
        </w:rPr>
        <w:t>)</w:t>
      </w:r>
      <w:r w:rsidR="007C6A36">
        <w:rPr>
          <w:lang w:val="fr-FR"/>
        </w:rPr>
        <w:t xml:space="preserve"> pour </w:t>
      </w:r>
      <w:r w:rsidR="000D5576">
        <w:rPr>
          <w:lang w:val="fr-FR"/>
        </w:rPr>
        <w:t>préciser</w:t>
      </w:r>
      <w:r w:rsidR="00C90124">
        <w:rPr>
          <w:lang w:val="fr-FR"/>
        </w:rPr>
        <w:t xml:space="preserve"> </w:t>
      </w:r>
      <w:r w:rsidR="00334A37">
        <w:rPr>
          <w:lang w:val="fr-FR"/>
        </w:rPr>
        <w:t xml:space="preserve">que la Cour ne peut pas </w:t>
      </w:r>
      <w:r w:rsidR="000D5576">
        <w:rPr>
          <w:lang w:val="fr-FR"/>
        </w:rPr>
        <w:t>connaître de</w:t>
      </w:r>
      <w:r w:rsidR="00334A37">
        <w:rPr>
          <w:lang w:val="fr-FR"/>
        </w:rPr>
        <w:t xml:space="preserve"> griefs qui n</w:t>
      </w:r>
      <w:r w:rsidR="00603708">
        <w:rPr>
          <w:lang w:val="fr-FR"/>
        </w:rPr>
        <w:t>’</w:t>
      </w:r>
      <w:r w:rsidR="00334A37">
        <w:rPr>
          <w:lang w:val="fr-FR"/>
        </w:rPr>
        <w:t>ont pas été soulevés au niveau national et qu</w:t>
      </w:r>
      <w:r w:rsidR="00603708">
        <w:rPr>
          <w:lang w:val="fr-FR"/>
        </w:rPr>
        <w:t>’</w:t>
      </w:r>
      <w:r w:rsidR="00334A37">
        <w:rPr>
          <w:lang w:val="fr-FR"/>
        </w:rPr>
        <w:t xml:space="preserve">elle </w:t>
      </w:r>
      <w:r w:rsidR="000D5576">
        <w:rPr>
          <w:lang w:val="fr-FR"/>
        </w:rPr>
        <w:t>n</w:t>
      </w:r>
      <w:r w:rsidR="00603708">
        <w:rPr>
          <w:lang w:val="fr-FR"/>
        </w:rPr>
        <w:t>’</w:t>
      </w:r>
      <w:r w:rsidR="000D5576">
        <w:rPr>
          <w:lang w:val="fr-FR"/>
        </w:rPr>
        <w:t>a pas pour tâche de se</w:t>
      </w:r>
      <w:r w:rsidR="00334A37">
        <w:rPr>
          <w:lang w:val="fr-FR"/>
        </w:rPr>
        <w:t xml:space="preserve"> substituer</w:t>
      </w:r>
      <w:r w:rsidR="000D5576">
        <w:rPr>
          <w:lang w:val="fr-FR"/>
        </w:rPr>
        <w:t xml:space="preserve"> aux juridictions internes pour juger en tant que</w:t>
      </w:r>
      <w:r w:rsidR="00B32005">
        <w:rPr>
          <w:lang w:val="fr-FR"/>
        </w:rPr>
        <w:t xml:space="preserve"> quatrième instance </w:t>
      </w:r>
      <w:r w:rsidR="000D5576">
        <w:rPr>
          <w:lang w:val="fr-FR"/>
        </w:rPr>
        <w:t>le fond de l</w:t>
      </w:r>
      <w:r w:rsidR="00603708">
        <w:rPr>
          <w:lang w:val="fr-FR"/>
        </w:rPr>
        <w:t>’</w:t>
      </w:r>
      <w:r w:rsidR="000D5576">
        <w:rPr>
          <w:lang w:val="fr-FR"/>
        </w:rPr>
        <w:t>affaire</w:t>
      </w:r>
      <w:r w:rsidR="00334A37">
        <w:rPr>
          <w:lang w:val="fr-FR"/>
        </w:rPr>
        <w:t>.</w:t>
      </w:r>
    </w:p>
    <w:p w:rsidR="00BF14F6" w:rsidRPr="00334A37" w:rsidRDefault="00406B66" w:rsidP="00406B66">
      <w:pPr>
        <w:pStyle w:val="ECHRHeading5"/>
        <w:rPr>
          <w:lang w:val="fr-FR"/>
        </w:rPr>
      </w:pPr>
      <w:r>
        <w:rPr>
          <w:lang w:val="fr-FR"/>
        </w:rPr>
        <w:t>ii.</w:t>
      </w:r>
      <w:r w:rsidR="00325430">
        <w:rPr>
          <w:lang w:val="fr-FR"/>
        </w:rPr>
        <w:t>  Le</w:t>
      </w:r>
      <w:r w:rsidR="00BF14F6" w:rsidRPr="00334A37">
        <w:rPr>
          <w:lang w:val="fr-FR"/>
        </w:rPr>
        <w:t xml:space="preserve"> requérant</w:t>
      </w:r>
    </w:p>
    <w:p w:rsidR="00603708" w:rsidRDefault="00892AA2">
      <w:pPr>
        <w:pStyle w:val="ECHRPara"/>
        <w:rPr>
          <w:lang w:val="fr-FR"/>
        </w:rPr>
      </w:pPr>
      <w:r w:rsidRPr="00431312">
        <w:rPr>
          <w:lang w:val="fr-FR"/>
        </w:rPr>
        <w:fldChar w:fldCharType="begin"/>
      </w:r>
      <w:r w:rsidRPr="005111DE">
        <w:rPr>
          <w:lang w:val="fr-FR"/>
        </w:rPr>
        <w:instrText xml:space="preserve"> SEQ level0 \*arabic </w:instrText>
      </w:r>
      <w:r w:rsidRPr="00431312">
        <w:rPr>
          <w:lang w:val="fr-FR"/>
        </w:rPr>
        <w:fldChar w:fldCharType="separate"/>
      </w:r>
      <w:r w:rsidR="00B378F9">
        <w:rPr>
          <w:noProof/>
          <w:lang w:val="fr-FR"/>
        </w:rPr>
        <w:t>134</w:t>
      </w:r>
      <w:r w:rsidRPr="00431312">
        <w:rPr>
          <w:lang w:val="fr-FR"/>
        </w:rPr>
        <w:fldChar w:fldCharType="end"/>
      </w:r>
      <w:r w:rsidRPr="005111DE">
        <w:rPr>
          <w:lang w:val="fr-FR"/>
        </w:rPr>
        <w:t>.  </w:t>
      </w:r>
      <w:r w:rsidR="00964C97">
        <w:rPr>
          <w:lang w:val="fr-FR"/>
        </w:rPr>
        <w:t>S</w:t>
      </w:r>
      <w:r w:rsidR="00603708">
        <w:rPr>
          <w:lang w:val="fr-FR"/>
        </w:rPr>
        <w:t>’</w:t>
      </w:r>
      <w:r w:rsidR="0064029F" w:rsidRPr="005111DE">
        <w:rPr>
          <w:lang w:val="fr-FR"/>
        </w:rPr>
        <w:t>appuy</w:t>
      </w:r>
      <w:r w:rsidR="00964C97">
        <w:rPr>
          <w:lang w:val="fr-FR"/>
        </w:rPr>
        <w:t>ant</w:t>
      </w:r>
      <w:r w:rsidR="0064029F" w:rsidRPr="005111DE">
        <w:rPr>
          <w:lang w:val="fr-FR"/>
        </w:rPr>
        <w:t>, notamment, sur les a</w:t>
      </w:r>
      <w:r w:rsidR="005111DE">
        <w:rPr>
          <w:lang w:val="fr-FR"/>
        </w:rPr>
        <w:t>rrêts</w:t>
      </w:r>
      <w:r w:rsidR="0064029F" w:rsidRPr="005111DE">
        <w:rPr>
          <w:lang w:val="fr-FR"/>
        </w:rPr>
        <w:t xml:space="preserve"> </w:t>
      </w:r>
      <w:r w:rsidR="0064029F" w:rsidRPr="005111DE">
        <w:rPr>
          <w:i/>
          <w:lang w:val="fr-FR"/>
        </w:rPr>
        <w:t xml:space="preserve">Gäfgen </w:t>
      </w:r>
      <w:r w:rsidR="0064029F" w:rsidRPr="005111DE">
        <w:rPr>
          <w:lang w:val="fr-FR"/>
        </w:rPr>
        <w:t>(précité,</w:t>
      </w:r>
      <w:r w:rsidR="0064029F" w:rsidRPr="00AC0DAF">
        <w:rPr>
          <w:lang w:val="fr-FR"/>
        </w:rPr>
        <w:t xml:space="preserve"> </w:t>
      </w:r>
      <w:r w:rsidR="005111DE" w:rsidRPr="00AC0DAF">
        <w:rPr>
          <w:lang w:val="fr-FR"/>
        </w:rPr>
        <w:t>§§</w:t>
      </w:r>
      <w:r w:rsidR="005111DE">
        <w:rPr>
          <w:lang w:val="fr-FR"/>
        </w:rPr>
        <w:t> </w:t>
      </w:r>
      <w:r w:rsidR="0064029F" w:rsidRPr="00AC0DAF">
        <w:rPr>
          <w:lang w:val="fr-FR"/>
        </w:rPr>
        <w:t xml:space="preserve">116 et suivants), </w:t>
      </w:r>
      <w:r w:rsidR="0064029F" w:rsidRPr="00AC0DAF">
        <w:rPr>
          <w:i/>
          <w:lang w:val="fr-FR"/>
        </w:rPr>
        <w:t>Darraj c. France</w:t>
      </w:r>
      <w:r w:rsidR="0064029F" w:rsidRPr="00AC0DAF">
        <w:rPr>
          <w:lang w:val="fr-FR"/>
        </w:rPr>
        <w:t xml:space="preserve"> (n</w:t>
      </w:r>
      <w:r w:rsidR="0064029F" w:rsidRPr="00AC0DAF">
        <w:rPr>
          <w:vertAlign w:val="superscript"/>
          <w:lang w:val="fr-FR"/>
        </w:rPr>
        <w:t>o</w:t>
      </w:r>
      <w:r w:rsidR="0064029F" w:rsidRPr="00AC0DAF">
        <w:rPr>
          <w:lang w:val="fr-FR"/>
        </w:rPr>
        <w:t xml:space="preserve"> 34588/07</w:t>
      </w:r>
      <w:r w:rsidR="0064029F" w:rsidRPr="00AC0DAF">
        <w:rPr>
          <w:snapToGrid w:val="0"/>
          <w:szCs w:val="24"/>
          <w:lang w:val="fr-FR"/>
        </w:rPr>
        <w:t xml:space="preserve">, §§ 45-48, 4 </w:t>
      </w:r>
      <w:r w:rsidR="0064029F" w:rsidRPr="00AC0DAF">
        <w:rPr>
          <w:szCs w:val="24"/>
          <w:lang w:val="fr-FR"/>
        </w:rPr>
        <w:t>novembre</w:t>
      </w:r>
      <w:r w:rsidR="0064029F" w:rsidRPr="00AC0DAF">
        <w:rPr>
          <w:snapToGrid w:val="0"/>
          <w:szCs w:val="24"/>
          <w:lang w:val="fr-FR"/>
        </w:rPr>
        <w:t xml:space="preserve"> 2010) et </w:t>
      </w:r>
      <w:r w:rsidR="00944BE0" w:rsidRPr="00944BE0">
        <w:rPr>
          <w:i/>
          <w:lang w:val="fr-FR"/>
        </w:rPr>
        <w:t>Dembele</w:t>
      </w:r>
      <w:r w:rsidR="0064029F" w:rsidRPr="00AC0DAF">
        <w:rPr>
          <w:lang w:val="fr-FR"/>
        </w:rPr>
        <w:t xml:space="preserve"> (</w:t>
      </w:r>
      <w:r w:rsidR="00944BE0">
        <w:rPr>
          <w:lang w:val="fr-FR"/>
        </w:rPr>
        <w:t>précité, §</w:t>
      </w:r>
      <w:r w:rsidR="0064029F" w:rsidRPr="00AC0DAF">
        <w:rPr>
          <w:snapToGrid w:val="0"/>
          <w:lang w:val="fr-FR"/>
        </w:rPr>
        <w:t xml:space="preserve"> 62</w:t>
      </w:r>
      <w:r w:rsidR="00944BE0">
        <w:rPr>
          <w:snapToGrid w:val="0"/>
          <w:lang w:val="fr-FR"/>
        </w:rPr>
        <w:t>), le</w:t>
      </w:r>
      <w:r w:rsidR="0064029F">
        <w:rPr>
          <w:snapToGrid w:val="0"/>
          <w:lang w:val="fr-FR"/>
        </w:rPr>
        <w:t xml:space="preserve"> requérant </w:t>
      </w:r>
      <w:r w:rsidR="005E301A">
        <w:rPr>
          <w:snapToGrid w:val="0"/>
          <w:lang w:val="fr-FR"/>
        </w:rPr>
        <w:t>indique</w:t>
      </w:r>
      <w:r w:rsidR="0064029F">
        <w:rPr>
          <w:snapToGrid w:val="0"/>
          <w:lang w:val="fr-FR"/>
        </w:rPr>
        <w:t xml:space="preserve"> qu</w:t>
      </w:r>
      <w:r w:rsidR="005E301A">
        <w:rPr>
          <w:snapToGrid w:val="0"/>
          <w:lang w:val="fr-FR"/>
        </w:rPr>
        <w:t xml:space="preserve">e, </w:t>
      </w:r>
      <w:r w:rsidR="0064029F">
        <w:rPr>
          <w:snapToGrid w:val="0"/>
          <w:lang w:val="fr-FR"/>
        </w:rPr>
        <w:t>en cas de violation de l</w:t>
      </w:r>
      <w:r w:rsidR="00603708">
        <w:rPr>
          <w:snapToGrid w:val="0"/>
          <w:lang w:val="fr-FR"/>
        </w:rPr>
        <w:t>’</w:t>
      </w:r>
      <w:r w:rsidR="0064029F">
        <w:rPr>
          <w:snapToGrid w:val="0"/>
          <w:lang w:val="fr-FR"/>
        </w:rPr>
        <w:t xml:space="preserve">article 3 de la Convention, </w:t>
      </w:r>
      <w:r w:rsidR="009D5DA2">
        <w:rPr>
          <w:snapToGrid w:val="0"/>
          <w:lang w:val="fr-FR"/>
        </w:rPr>
        <w:t>il est indispensable, pour garantir une réparation adéquate au niveau national et ainsi faire perdre à l</w:t>
      </w:r>
      <w:r w:rsidR="00603708">
        <w:rPr>
          <w:snapToGrid w:val="0"/>
          <w:lang w:val="fr-FR"/>
        </w:rPr>
        <w:t>’</w:t>
      </w:r>
      <w:r w:rsidR="009D5DA2">
        <w:rPr>
          <w:snapToGrid w:val="0"/>
          <w:lang w:val="fr-FR"/>
        </w:rPr>
        <w:t xml:space="preserve">intéressé </w:t>
      </w:r>
      <w:r w:rsidR="009D5DA2" w:rsidRPr="008D3288">
        <w:rPr>
          <w:snapToGrid w:val="0"/>
          <w:lang w:val="fr-FR"/>
        </w:rPr>
        <w:t>la qualité de victime, d</w:t>
      </w:r>
      <w:r w:rsidR="00603708">
        <w:rPr>
          <w:snapToGrid w:val="0"/>
          <w:lang w:val="fr-FR"/>
        </w:rPr>
        <w:t>’</w:t>
      </w:r>
      <w:r w:rsidR="009D5DA2" w:rsidRPr="008D3288">
        <w:rPr>
          <w:snapToGrid w:val="0"/>
          <w:lang w:val="fr-FR"/>
        </w:rPr>
        <w:t>identifier l</w:t>
      </w:r>
      <w:r w:rsidR="0064029F" w:rsidRPr="008D3288">
        <w:rPr>
          <w:snapToGrid w:val="0"/>
          <w:lang w:val="fr-FR"/>
        </w:rPr>
        <w:t xml:space="preserve">es responsables et </w:t>
      </w:r>
      <w:r w:rsidR="009D5DA2" w:rsidRPr="008D3288">
        <w:rPr>
          <w:snapToGrid w:val="0"/>
          <w:lang w:val="fr-FR"/>
        </w:rPr>
        <w:t>de leur infliger des</w:t>
      </w:r>
      <w:r w:rsidR="0064029F" w:rsidRPr="008D3288">
        <w:rPr>
          <w:snapToGrid w:val="0"/>
          <w:lang w:val="fr-FR"/>
        </w:rPr>
        <w:t xml:space="preserve"> sanctions proportionnées à la gravité des mauvais traitements perpétrés.</w:t>
      </w:r>
    </w:p>
    <w:p w:rsidR="0064029F" w:rsidRPr="008D3288" w:rsidRDefault="00BF14F6" w:rsidP="0064029F">
      <w:pPr>
        <w:pStyle w:val="ECHRPara"/>
        <w:rPr>
          <w:lang w:val="fr-FR"/>
        </w:rPr>
      </w:pPr>
      <w:r w:rsidRPr="008D3288">
        <w:rPr>
          <w:lang w:val="fr-FR"/>
        </w:rPr>
        <w:fldChar w:fldCharType="begin"/>
      </w:r>
      <w:r w:rsidRPr="008D3288">
        <w:rPr>
          <w:lang w:val="fr-FR"/>
        </w:rPr>
        <w:instrText xml:space="preserve"> SEQ level0 \*arabic </w:instrText>
      </w:r>
      <w:r w:rsidRPr="008D3288">
        <w:rPr>
          <w:lang w:val="fr-FR"/>
        </w:rPr>
        <w:fldChar w:fldCharType="separate"/>
      </w:r>
      <w:r w:rsidR="00B378F9">
        <w:rPr>
          <w:noProof/>
          <w:lang w:val="fr-FR"/>
        </w:rPr>
        <w:t>135</w:t>
      </w:r>
      <w:r w:rsidRPr="008D3288">
        <w:rPr>
          <w:lang w:val="fr-FR"/>
        </w:rPr>
        <w:fldChar w:fldCharType="end"/>
      </w:r>
      <w:r w:rsidRPr="008D3288">
        <w:rPr>
          <w:lang w:val="fr-FR"/>
        </w:rPr>
        <w:t>. </w:t>
      </w:r>
      <w:r w:rsidR="005E301A" w:rsidRPr="008D3288">
        <w:rPr>
          <w:lang w:val="fr-FR"/>
        </w:rPr>
        <w:t> </w:t>
      </w:r>
      <w:r w:rsidR="0064029F" w:rsidRPr="008D3288">
        <w:rPr>
          <w:lang w:val="fr-FR"/>
        </w:rPr>
        <w:t xml:space="preserve">Il </w:t>
      </w:r>
      <w:r w:rsidR="005C7468" w:rsidRPr="008D3288">
        <w:rPr>
          <w:lang w:val="fr-FR"/>
        </w:rPr>
        <w:t>soutient</w:t>
      </w:r>
      <w:r w:rsidR="0064029F" w:rsidRPr="008D3288">
        <w:rPr>
          <w:lang w:val="fr-FR"/>
        </w:rPr>
        <w:t xml:space="preserve"> qu</w:t>
      </w:r>
      <w:r w:rsidR="00603708">
        <w:rPr>
          <w:lang w:val="fr-FR"/>
        </w:rPr>
        <w:t>’</w:t>
      </w:r>
      <w:r w:rsidR="0064029F" w:rsidRPr="008D3288">
        <w:rPr>
          <w:lang w:val="fr-FR"/>
        </w:rPr>
        <w:t>en l</w:t>
      </w:r>
      <w:r w:rsidR="00603708">
        <w:rPr>
          <w:lang w:val="fr-FR"/>
        </w:rPr>
        <w:t>’</w:t>
      </w:r>
      <w:r w:rsidR="0064029F" w:rsidRPr="008D3288">
        <w:rPr>
          <w:lang w:val="fr-FR"/>
        </w:rPr>
        <w:t>espèce les autorités nationales n</w:t>
      </w:r>
      <w:r w:rsidR="00603708">
        <w:rPr>
          <w:lang w:val="fr-FR"/>
        </w:rPr>
        <w:t>’</w:t>
      </w:r>
      <w:r w:rsidR="0064029F" w:rsidRPr="008D3288">
        <w:rPr>
          <w:lang w:val="fr-FR"/>
        </w:rPr>
        <w:t>ont reconnu aucune violation de l</w:t>
      </w:r>
      <w:r w:rsidR="00603708">
        <w:rPr>
          <w:lang w:val="fr-FR"/>
        </w:rPr>
        <w:t>’</w:t>
      </w:r>
      <w:r w:rsidR="0064029F" w:rsidRPr="008D3288">
        <w:rPr>
          <w:lang w:val="fr-FR"/>
        </w:rPr>
        <w:t>article 3, que les responsables des mauvais traitements litigieux sont restés en substance impunis en raison, notamment, de la prescription des délits dont ils étaient accusés et qu</w:t>
      </w:r>
      <w:r w:rsidR="00603708">
        <w:rPr>
          <w:lang w:val="fr-FR"/>
        </w:rPr>
        <w:t>’</w:t>
      </w:r>
      <w:r w:rsidR="0064029F" w:rsidRPr="008D3288">
        <w:rPr>
          <w:lang w:val="fr-FR"/>
        </w:rPr>
        <w:t>ils n</w:t>
      </w:r>
      <w:r w:rsidR="00603708">
        <w:rPr>
          <w:lang w:val="fr-FR"/>
        </w:rPr>
        <w:t>’</w:t>
      </w:r>
      <w:r w:rsidR="0064029F" w:rsidRPr="008D3288">
        <w:rPr>
          <w:lang w:val="fr-FR"/>
        </w:rPr>
        <w:t xml:space="preserve">ont </w:t>
      </w:r>
      <w:r w:rsidR="00C245CD" w:rsidRPr="008D3288">
        <w:rPr>
          <w:lang w:val="fr-FR"/>
        </w:rPr>
        <w:t>fait l</w:t>
      </w:r>
      <w:r w:rsidR="00603708">
        <w:rPr>
          <w:lang w:val="fr-FR"/>
        </w:rPr>
        <w:t>’</w:t>
      </w:r>
      <w:r w:rsidR="00C245CD" w:rsidRPr="008D3288">
        <w:rPr>
          <w:lang w:val="fr-FR"/>
        </w:rPr>
        <w:t>objet</w:t>
      </w:r>
      <w:r w:rsidR="0064029F" w:rsidRPr="008D3288">
        <w:rPr>
          <w:lang w:val="fr-FR"/>
        </w:rPr>
        <w:t xml:space="preserve"> d</w:t>
      </w:r>
      <w:r w:rsidR="00603708">
        <w:rPr>
          <w:lang w:val="fr-FR"/>
        </w:rPr>
        <w:t>’</w:t>
      </w:r>
      <w:r w:rsidR="0064029F" w:rsidRPr="008D3288">
        <w:rPr>
          <w:lang w:val="fr-FR"/>
        </w:rPr>
        <w:t>aucune mesure disciplinaire.</w:t>
      </w:r>
    </w:p>
    <w:p w:rsidR="0032468C" w:rsidRPr="008D3288" w:rsidRDefault="0064029F" w:rsidP="008C2F2E">
      <w:pPr>
        <w:pStyle w:val="ECHRPara"/>
        <w:rPr>
          <w:lang w:val="fr-FR"/>
        </w:rPr>
      </w:pPr>
      <w:r w:rsidRPr="008D3288">
        <w:rPr>
          <w:lang w:val="fr-FR"/>
        </w:rPr>
        <w:t xml:space="preserve">Il </w:t>
      </w:r>
      <w:r w:rsidR="005C7468" w:rsidRPr="008D3288">
        <w:rPr>
          <w:lang w:val="fr-FR"/>
        </w:rPr>
        <w:t>est d</w:t>
      </w:r>
      <w:r w:rsidR="00603708">
        <w:rPr>
          <w:lang w:val="fr-FR"/>
        </w:rPr>
        <w:t>’</w:t>
      </w:r>
      <w:r w:rsidR="005C7468" w:rsidRPr="008D3288">
        <w:rPr>
          <w:lang w:val="fr-FR"/>
        </w:rPr>
        <w:t>avis</w:t>
      </w:r>
      <w:r w:rsidRPr="008D3288">
        <w:rPr>
          <w:lang w:val="fr-FR"/>
        </w:rPr>
        <w:t xml:space="preserve"> que, dans ces conditions, le dédommagement qu</w:t>
      </w:r>
      <w:r w:rsidR="00603708">
        <w:rPr>
          <w:lang w:val="fr-FR"/>
        </w:rPr>
        <w:t>’</w:t>
      </w:r>
      <w:r w:rsidRPr="008D3288">
        <w:rPr>
          <w:lang w:val="fr-FR"/>
        </w:rPr>
        <w:t>il a obtenu en tant que partie civile à la procédure pénale concernant les év</w:t>
      </w:r>
      <w:r w:rsidR="00650C81" w:rsidRPr="008D3288">
        <w:rPr>
          <w:lang w:val="fr-FR"/>
        </w:rPr>
        <w:t>é</w:t>
      </w:r>
      <w:r w:rsidRPr="008D3288">
        <w:rPr>
          <w:lang w:val="fr-FR"/>
        </w:rPr>
        <w:t>nements de l</w:t>
      </w:r>
      <w:r w:rsidR="00603708">
        <w:rPr>
          <w:lang w:val="fr-FR"/>
        </w:rPr>
        <w:t>’</w:t>
      </w:r>
      <w:r w:rsidRPr="008D3288">
        <w:rPr>
          <w:lang w:val="fr-FR"/>
        </w:rPr>
        <w:t>école Diaz-Pertini ne suffit p</w:t>
      </w:r>
      <w:r w:rsidR="005C7468" w:rsidRPr="008D3288">
        <w:rPr>
          <w:lang w:val="fr-FR"/>
        </w:rPr>
        <w:t>as</w:t>
      </w:r>
      <w:r w:rsidRPr="008D3288">
        <w:rPr>
          <w:lang w:val="fr-FR"/>
        </w:rPr>
        <w:t xml:space="preserve"> à réparer de manière adéquate les violations de l</w:t>
      </w:r>
      <w:r w:rsidR="00603708">
        <w:rPr>
          <w:lang w:val="fr-FR"/>
        </w:rPr>
        <w:t>’</w:t>
      </w:r>
      <w:r w:rsidRPr="008D3288">
        <w:rPr>
          <w:lang w:val="fr-FR"/>
        </w:rPr>
        <w:t xml:space="preserve">article 3 dont il </w:t>
      </w:r>
      <w:r w:rsidR="009D5DA2" w:rsidRPr="008D3288">
        <w:rPr>
          <w:lang w:val="fr-FR"/>
        </w:rPr>
        <w:t>se dit</w:t>
      </w:r>
      <w:r w:rsidRPr="008D3288">
        <w:rPr>
          <w:lang w:val="fr-FR"/>
        </w:rPr>
        <w:t xml:space="preserve"> victime.</w:t>
      </w:r>
      <w:r w:rsidR="00561EA5" w:rsidRPr="008D3288">
        <w:rPr>
          <w:lang w:val="fr-FR"/>
        </w:rPr>
        <w:t xml:space="preserve"> </w:t>
      </w:r>
      <w:r w:rsidR="009D5DA2" w:rsidRPr="000B5793">
        <w:rPr>
          <w:lang w:val="fr-FR"/>
        </w:rPr>
        <w:t>Dès lors, il estime que l</w:t>
      </w:r>
      <w:r w:rsidR="00603708">
        <w:rPr>
          <w:lang w:val="fr-FR"/>
        </w:rPr>
        <w:t>’</w:t>
      </w:r>
      <w:r w:rsidR="009D5DA2" w:rsidRPr="000B5793">
        <w:rPr>
          <w:lang w:val="fr-FR"/>
        </w:rPr>
        <w:t>argument du Gouvernement lui reprochant de ne pas avoir entamé une procédure civile ultérieure pour obtenir la liquidation globale et définitive des dommages-intérêts au titre du préjudice subi ne peut être retenu</w:t>
      </w:r>
      <w:r w:rsidR="009D5DA2" w:rsidRPr="008D3288">
        <w:rPr>
          <w:lang w:val="fr-FR"/>
        </w:rPr>
        <w:t>.</w:t>
      </w:r>
    </w:p>
    <w:p w:rsidR="00BF14F6" w:rsidRPr="00674842" w:rsidRDefault="00406B66" w:rsidP="00BF14F6">
      <w:pPr>
        <w:pStyle w:val="ECHRHeading4"/>
        <w:rPr>
          <w:lang w:val="fr-FR"/>
        </w:rPr>
      </w:pPr>
      <w:r w:rsidRPr="008D3288">
        <w:rPr>
          <w:lang w:val="fr-FR"/>
        </w:rPr>
        <w:t>b</w:t>
      </w:r>
      <w:r w:rsidR="00BF14F6" w:rsidRPr="008D3288">
        <w:rPr>
          <w:lang w:val="fr-FR"/>
        </w:rPr>
        <w:t>)  Appréciation de la Cour</w:t>
      </w:r>
    </w:p>
    <w:p w:rsidR="0032468C" w:rsidRDefault="00E02B4A" w:rsidP="00E02B4A">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B378F9">
        <w:rPr>
          <w:rStyle w:val="sb8d990e2"/>
          <w:noProof/>
          <w:lang w:val="fr-FR"/>
        </w:rPr>
        <w:t>136</w:t>
      </w:r>
      <w:r>
        <w:rPr>
          <w:rStyle w:val="sb8d990e2"/>
          <w:lang w:val="fr-FR"/>
        </w:rPr>
        <w:fldChar w:fldCharType="end"/>
      </w:r>
      <w:r>
        <w:rPr>
          <w:rStyle w:val="sb8d990e2"/>
          <w:lang w:val="fr-FR"/>
        </w:rPr>
        <w:t>.  </w:t>
      </w:r>
      <w:r w:rsidR="00674842">
        <w:rPr>
          <w:rStyle w:val="sb8d990e2"/>
          <w:lang w:val="fr-FR"/>
        </w:rPr>
        <w:t>L</w:t>
      </w:r>
      <w:r w:rsidR="00674842" w:rsidRPr="00674842">
        <w:rPr>
          <w:rStyle w:val="sb8d990e2"/>
          <w:lang w:val="fr-FR"/>
        </w:rPr>
        <w:t xml:space="preserve">a Cour relève que la question centrale qui se pose </w:t>
      </w:r>
      <w:r w:rsidR="009D5DA2">
        <w:rPr>
          <w:rStyle w:val="sb8d990e2"/>
          <w:lang w:val="fr-FR"/>
        </w:rPr>
        <w:t>quant à</w:t>
      </w:r>
      <w:r w:rsidR="00674842" w:rsidRPr="00674842">
        <w:rPr>
          <w:rStyle w:val="sb8d990e2"/>
          <w:lang w:val="fr-FR"/>
        </w:rPr>
        <w:t xml:space="preserve"> la perte de la qualité de victime du requérant est étroitement liée à la substance du </w:t>
      </w:r>
      <w:r w:rsidR="0064029F">
        <w:rPr>
          <w:rStyle w:val="sb8d990e2"/>
          <w:lang w:val="fr-FR"/>
        </w:rPr>
        <w:t xml:space="preserve">volet procédural du </w:t>
      </w:r>
      <w:r w:rsidR="00674842" w:rsidRPr="00674842">
        <w:rPr>
          <w:rStyle w:val="sb8d990e2"/>
          <w:lang w:val="fr-FR"/>
        </w:rPr>
        <w:t>gri</w:t>
      </w:r>
      <w:r w:rsidR="00674842">
        <w:rPr>
          <w:rStyle w:val="sb8d990e2"/>
          <w:lang w:val="fr-FR"/>
        </w:rPr>
        <w:t xml:space="preserve">ef </w:t>
      </w:r>
      <w:r w:rsidR="007D3855">
        <w:rPr>
          <w:rStyle w:val="sb8d990e2"/>
          <w:lang w:val="fr-FR"/>
        </w:rPr>
        <w:t>tiré</w:t>
      </w:r>
      <w:r w:rsidR="00674842">
        <w:rPr>
          <w:rStyle w:val="sb8d990e2"/>
          <w:lang w:val="fr-FR"/>
        </w:rPr>
        <w:t xml:space="preserve"> de l</w:t>
      </w:r>
      <w:r w:rsidR="00603708">
        <w:rPr>
          <w:rStyle w:val="sb8d990e2"/>
          <w:lang w:val="fr-FR"/>
        </w:rPr>
        <w:t>’</w:t>
      </w:r>
      <w:r w:rsidR="00674842" w:rsidRPr="00674842">
        <w:rPr>
          <w:rStyle w:val="sb8d990e2"/>
          <w:lang w:val="fr-FR"/>
        </w:rPr>
        <w:t xml:space="preserve">article 3 de la Convention. </w:t>
      </w:r>
      <w:r w:rsidR="004E519B">
        <w:rPr>
          <w:rStyle w:val="sb8d990e2"/>
          <w:lang w:val="fr-FR"/>
        </w:rPr>
        <w:t>En</w:t>
      </w:r>
      <w:r w:rsidR="001035DE">
        <w:rPr>
          <w:rStyle w:val="sb8d990e2"/>
          <w:lang w:val="fr-FR"/>
        </w:rPr>
        <w:t> </w:t>
      </w:r>
      <w:r w:rsidR="004E519B">
        <w:rPr>
          <w:rStyle w:val="sb8d990e2"/>
          <w:lang w:val="fr-FR"/>
        </w:rPr>
        <w:t>conséquence, e</w:t>
      </w:r>
      <w:r w:rsidR="00674842" w:rsidRPr="00674842">
        <w:rPr>
          <w:rStyle w:val="sb8d990e2"/>
          <w:lang w:val="fr-FR"/>
        </w:rPr>
        <w:t xml:space="preserve">lle décide de joindre cette exception au </w:t>
      </w:r>
      <w:r w:rsidR="00674842" w:rsidRPr="008D21CA">
        <w:rPr>
          <w:rStyle w:val="sb8d990e2"/>
          <w:lang w:val="fr-FR"/>
        </w:rPr>
        <w:t>fond</w:t>
      </w:r>
      <w:r w:rsidR="00AD64AB">
        <w:rPr>
          <w:rStyle w:val="sb8d990e2"/>
          <w:lang w:val="fr-FR"/>
        </w:rPr>
        <w:t xml:space="preserve"> </w:t>
      </w:r>
      <w:r w:rsidR="00AD64AB" w:rsidRPr="00674842">
        <w:rPr>
          <w:rStyle w:val="sb8d990e2"/>
          <w:lang w:val="fr-FR"/>
        </w:rPr>
        <w:t>(</w:t>
      </w:r>
      <w:r w:rsidR="00AD64AB" w:rsidRPr="00AC0DAF">
        <w:rPr>
          <w:rStyle w:val="s6b621b36"/>
          <w:i/>
          <w:lang w:val="fr-FR"/>
        </w:rPr>
        <w:t>Vladimir Romanov c. Russie</w:t>
      </w:r>
      <w:r w:rsidR="00AD64AB" w:rsidRPr="00AC0DAF">
        <w:rPr>
          <w:rStyle w:val="sb8d990e2"/>
          <w:lang w:val="fr-FR"/>
        </w:rPr>
        <w:t>, n</w:t>
      </w:r>
      <w:r w:rsidR="00AD64AB" w:rsidRPr="00AC0DAF">
        <w:rPr>
          <w:rStyle w:val="sea881cdf"/>
          <w:vertAlign w:val="superscript"/>
          <w:lang w:val="fr-FR"/>
        </w:rPr>
        <w:t>o</w:t>
      </w:r>
      <w:r w:rsidR="00AD64AB" w:rsidRPr="00AC0DAF">
        <w:rPr>
          <w:rStyle w:val="sb8d990e2"/>
          <w:lang w:val="fr-FR"/>
        </w:rPr>
        <w:t xml:space="preserve"> 41461/02, §§ 71-90, 24 juillet 2008</w:t>
      </w:r>
      <w:r w:rsidR="005C7468">
        <w:rPr>
          <w:rStyle w:val="sb8d990e2"/>
          <w:lang w:val="fr-FR"/>
        </w:rPr>
        <w:t>,</w:t>
      </w:r>
      <w:r w:rsidR="00AD64AB" w:rsidRPr="00AC0DAF">
        <w:rPr>
          <w:rStyle w:val="sb8d990e2"/>
          <w:lang w:val="fr-FR"/>
        </w:rPr>
        <w:t xml:space="preserve"> </w:t>
      </w:r>
      <w:r w:rsidR="008C2F2E">
        <w:rPr>
          <w:i/>
          <w:lang w:val="fr-FR"/>
        </w:rPr>
        <w:t>Kopylov c. </w:t>
      </w:r>
      <w:r w:rsidR="00AD64AB" w:rsidRPr="00AC0DAF">
        <w:rPr>
          <w:i/>
          <w:lang w:val="fr-FR"/>
        </w:rPr>
        <w:t>Russie</w:t>
      </w:r>
      <w:r w:rsidR="00AD64AB" w:rsidRPr="00AC0DAF">
        <w:rPr>
          <w:lang w:val="fr-FR"/>
        </w:rPr>
        <w:t>, n</w:t>
      </w:r>
      <w:r w:rsidR="00AD64AB" w:rsidRPr="00AC0DAF">
        <w:rPr>
          <w:vertAlign w:val="superscript"/>
          <w:lang w:val="fr-FR"/>
        </w:rPr>
        <w:t>o</w:t>
      </w:r>
      <w:r w:rsidR="00AD64AB" w:rsidRPr="00AC0DAF">
        <w:rPr>
          <w:lang w:val="fr-FR"/>
        </w:rPr>
        <w:t xml:space="preserve"> 3933/04</w:t>
      </w:r>
      <w:r w:rsidR="00AD64AB" w:rsidRPr="00AC0DAF">
        <w:rPr>
          <w:snapToGrid w:val="0"/>
          <w:szCs w:val="24"/>
          <w:lang w:val="fr-FR"/>
        </w:rPr>
        <w:t xml:space="preserve">, § 121, 29 </w:t>
      </w:r>
      <w:r w:rsidR="00AD64AB" w:rsidRPr="00AC0DAF">
        <w:rPr>
          <w:szCs w:val="24"/>
          <w:lang w:val="fr-FR"/>
        </w:rPr>
        <w:t>juillet</w:t>
      </w:r>
      <w:r w:rsidR="00AD64AB" w:rsidRPr="00AC0DAF">
        <w:rPr>
          <w:snapToGrid w:val="0"/>
          <w:szCs w:val="24"/>
          <w:lang w:val="fr-FR"/>
        </w:rPr>
        <w:t xml:space="preserve"> 2010</w:t>
      </w:r>
      <w:r w:rsidR="005C7468">
        <w:rPr>
          <w:snapToGrid w:val="0"/>
          <w:szCs w:val="24"/>
          <w:lang w:val="fr-FR"/>
        </w:rPr>
        <w:t>, et</w:t>
      </w:r>
      <w:r w:rsidR="00AD64AB" w:rsidRPr="00AC0DAF">
        <w:rPr>
          <w:snapToGrid w:val="0"/>
          <w:szCs w:val="24"/>
          <w:lang w:val="fr-FR"/>
        </w:rPr>
        <w:t xml:space="preserve"> </w:t>
      </w:r>
      <w:r w:rsidR="00AD64AB" w:rsidRPr="00AC0DAF">
        <w:rPr>
          <w:rStyle w:val="sb8d990e2"/>
          <w:i/>
          <w:lang w:val="fr-FR"/>
        </w:rPr>
        <w:t>Darraj</w:t>
      </w:r>
      <w:r w:rsidR="00AD64AB" w:rsidRPr="00AC0DAF">
        <w:rPr>
          <w:rStyle w:val="sb8d990e2"/>
          <w:lang w:val="fr-FR"/>
        </w:rPr>
        <w:t>, précité, § 28</w:t>
      </w:r>
      <w:r w:rsidR="00AD64AB" w:rsidRPr="00944BE0">
        <w:rPr>
          <w:rStyle w:val="sb8d990e2"/>
          <w:lang w:val="fr-FR"/>
        </w:rPr>
        <w:t>)</w:t>
      </w:r>
      <w:r w:rsidR="00674842" w:rsidRPr="00944BE0">
        <w:rPr>
          <w:rStyle w:val="sb8d990e2"/>
          <w:lang w:val="fr-FR"/>
        </w:rPr>
        <w:t>.</w:t>
      </w:r>
    </w:p>
    <w:p w:rsidR="00BF14F6" w:rsidRDefault="00BF14F6" w:rsidP="00BF14F6">
      <w:pPr>
        <w:pStyle w:val="ECHRPara"/>
        <w:rPr>
          <w:highlight w:val="yellow"/>
          <w:lang w:val="fr-FR"/>
        </w:rPr>
      </w:pPr>
      <w:r w:rsidRPr="008D21CA">
        <w:rPr>
          <w:lang w:val="fr-FR"/>
        </w:rPr>
        <w:fldChar w:fldCharType="begin"/>
      </w:r>
      <w:r w:rsidRPr="008D21CA">
        <w:rPr>
          <w:lang w:val="fr-FR"/>
        </w:rPr>
        <w:instrText xml:space="preserve"> SEQ level0 \*arabic </w:instrText>
      </w:r>
      <w:r w:rsidRPr="008D21CA">
        <w:rPr>
          <w:lang w:val="fr-FR"/>
        </w:rPr>
        <w:fldChar w:fldCharType="separate"/>
      </w:r>
      <w:r w:rsidR="00B378F9">
        <w:rPr>
          <w:noProof/>
          <w:lang w:val="fr-FR"/>
        </w:rPr>
        <w:t>137</w:t>
      </w:r>
      <w:r w:rsidRPr="008D21CA">
        <w:rPr>
          <w:lang w:val="fr-FR"/>
        </w:rPr>
        <w:fldChar w:fldCharType="end"/>
      </w:r>
      <w:r w:rsidRPr="008D21CA">
        <w:rPr>
          <w:lang w:val="fr-FR"/>
        </w:rPr>
        <w:t>.  </w:t>
      </w:r>
      <w:r w:rsidR="009D5DA2">
        <w:rPr>
          <w:lang w:val="fr-FR"/>
        </w:rPr>
        <w:t>S</w:t>
      </w:r>
      <w:r w:rsidR="00603708">
        <w:rPr>
          <w:lang w:val="fr-FR"/>
        </w:rPr>
        <w:t>’</w:t>
      </w:r>
      <w:r w:rsidR="009D5DA2">
        <w:rPr>
          <w:lang w:val="fr-FR"/>
        </w:rPr>
        <w:t>agissant</w:t>
      </w:r>
      <w:r w:rsidRPr="008D21CA">
        <w:rPr>
          <w:lang w:val="fr-FR"/>
        </w:rPr>
        <w:t xml:space="preserve"> du </w:t>
      </w:r>
      <w:r w:rsidR="00850134" w:rsidRPr="008D21CA">
        <w:rPr>
          <w:lang w:val="fr-FR"/>
        </w:rPr>
        <w:t xml:space="preserve">fait, </w:t>
      </w:r>
      <w:r w:rsidR="005C7468">
        <w:rPr>
          <w:lang w:val="fr-FR"/>
        </w:rPr>
        <w:t>relevé</w:t>
      </w:r>
      <w:r w:rsidR="005C7468" w:rsidRPr="008D21CA">
        <w:rPr>
          <w:lang w:val="fr-FR"/>
        </w:rPr>
        <w:t xml:space="preserve"> </w:t>
      </w:r>
      <w:r w:rsidR="00850134" w:rsidRPr="008D21CA">
        <w:rPr>
          <w:lang w:val="fr-FR"/>
        </w:rPr>
        <w:t>par le Gouvernement</w:t>
      </w:r>
      <w:r w:rsidRPr="008D21CA">
        <w:rPr>
          <w:lang w:val="fr-FR"/>
        </w:rPr>
        <w:t xml:space="preserve">, que le requérant </w:t>
      </w:r>
      <w:r w:rsidR="00850134" w:rsidRPr="008D21CA">
        <w:rPr>
          <w:lang w:val="fr-FR"/>
        </w:rPr>
        <w:t>n</w:t>
      </w:r>
      <w:r w:rsidR="00603708">
        <w:rPr>
          <w:lang w:val="fr-FR"/>
        </w:rPr>
        <w:t>’</w:t>
      </w:r>
      <w:r w:rsidR="00850134" w:rsidRPr="008D21CA">
        <w:rPr>
          <w:lang w:val="fr-FR"/>
        </w:rPr>
        <w:t>a pas entamé</w:t>
      </w:r>
      <w:r w:rsidRPr="008D21CA">
        <w:rPr>
          <w:lang w:val="fr-FR"/>
        </w:rPr>
        <w:t xml:space="preserve"> une procédure civile</w:t>
      </w:r>
      <w:r w:rsidR="00850134" w:rsidRPr="008D21CA">
        <w:rPr>
          <w:lang w:val="fr-FR"/>
        </w:rPr>
        <w:t xml:space="preserve"> ultérieure</w:t>
      </w:r>
      <w:r w:rsidRPr="008D21CA">
        <w:rPr>
          <w:lang w:val="fr-FR"/>
        </w:rPr>
        <w:t xml:space="preserve"> en dédommagement</w:t>
      </w:r>
      <w:r w:rsidR="008D21CA">
        <w:rPr>
          <w:lang w:val="fr-FR"/>
        </w:rPr>
        <w:t xml:space="preserve"> ainsi que de la réplique du requérant </w:t>
      </w:r>
      <w:r w:rsidR="008A3299">
        <w:rPr>
          <w:lang w:val="fr-FR"/>
        </w:rPr>
        <w:t>à ce</w:t>
      </w:r>
      <w:r w:rsidR="008D21CA">
        <w:rPr>
          <w:lang w:val="fr-FR"/>
        </w:rPr>
        <w:t xml:space="preserve"> </w:t>
      </w:r>
      <w:r w:rsidR="008A3299">
        <w:rPr>
          <w:lang w:val="fr-FR"/>
        </w:rPr>
        <w:t>propos</w:t>
      </w:r>
      <w:r w:rsidRPr="008D21CA">
        <w:rPr>
          <w:lang w:val="fr-FR"/>
        </w:rPr>
        <w:t>, la Cour considère que cette circonstance se prête à être examinée dans le cadre de l</w:t>
      </w:r>
      <w:r w:rsidR="00603708">
        <w:rPr>
          <w:lang w:val="fr-FR"/>
        </w:rPr>
        <w:t>’</w:t>
      </w:r>
      <w:r w:rsidRPr="008D21CA">
        <w:rPr>
          <w:lang w:val="fr-FR"/>
        </w:rPr>
        <w:t xml:space="preserve">exception du Gouvernement tirée du non-épuisement des voies de recours internes </w:t>
      </w:r>
      <w:r w:rsidRPr="00AC0DAF">
        <w:rPr>
          <w:lang w:val="fr-FR"/>
        </w:rPr>
        <w:t xml:space="preserve">(paragraphes </w:t>
      </w:r>
      <w:r w:rsidR="00AD64AB" w:rsidRPr="00AC0DAF">
        <w:rPr>
          <w:lang w:val="fr-FR"/>
        </w:rPr>
        <w:t>149 et suivants</w:t>
      </w:r>
      <w:r w:rsidR="00850134" w:rsidRPr="00AC0DAF">
        <w:rPr>
          <w:lang w:val="fr-FR"/>
        </w:rPr>
        <w:t xml:space="preserve"> </w:t>
      </w:r>
      <w:r w:rsidRPr="00AC0DAF">
        <w:rPr>
          <w:lang w:val="fr-FR"/>
        </w:rPr>
        <w:t>ci-</w:t>
      </w:r>
      <w:r w:rsidR="005C7468">
        <w:rPr>
          <w:lang w:val="fr-FR"/>
        </w:rPr>
        <w:t>dessous</w:t>
      </w:r>
      <w:r w:rsidRPr="00AC0DAF">
        <w:rPr>
          <w:lang w:val="fr-FR"/>
        </w:rPr>
        <w:t>).</w:t>
      </w:r>
    </w:p>
    <w:p w:rsidR="008D21CA" w:rsidRDefault="008D21CA" w:rsidP="008D21CA">
      <w:pPr>
        <w:pStyle w:val="ECHRHeading3"/>
        <w:rPr>
          <w:lang w:val="fr-FR"/>
        </w:rPr>
      </w:pPr>
      <w:r w:rsidRPr="008D21CA">
        <w:rPr>
          <w:lang w:val="fr-FR"/>
        </w:rPr>
        <w:t>2.</w:t>
      </w:r>
      <w:r w:rsidR="005C7468">
        <w:rPr>
          <w:lang w:val="fr-FR"/>
        </w:rPr>
        <w:t>  </w:t>
      </w:r>
      <w:r w:rsidR="0047227B" w:rsidRPr="0047227B">
        <w:rPr>
          <w:lang w:val="fr-FR"/>
        </w:rPr>
        <w:t>L</w:t>
      </w:r>
      <w:r w:rsidR="00603708">
        <w:rPr>
          <w:lang w:val="fr-FR"/>
        </w:rPr>
        <w:t>’</w:t>
      </w:r>
      <w:r w:rsidR="0047227B" w:rsidRPr="0047227B">
        <w:rPr>
          <w:lang w:val="fr-FR"/>
        </w:rPr>
        <w:t>exception du Gouvernement tirée du non-épuisement des voies de recours internes</w:t>
      </w:r>
    </w:p>
    <w:p w:rsidR="00406B66" w:rsidRDefault="008A3299" w:rsidP="008A3299">
      <w:pPr>
        <w:pStyle w:val="ECHRHeading4"/>
        <w:rPr>
          <w:lang w:val="fr-FR"/>
        </w:rPr>
      </w:pPr>
      <w:r w:rsidRPr="00BF14F6">
        <w:rPr>
          <w:lang w:val="fr-FR"/>
        </w:rPr>
        <w:t>a)  </w:t>
      </w:r>
      <w:r w:rsidR="00406B66">
        <w:rPr>
          <w:lang w:val="fr-FR"/>
        </w:rPr>
        <w:t>Thèses des parties</w:t>
      </w:r>
    </w:p>
    <w:p w:rsidR="008A3299" w:rsidRPr="00BF14F6" w:rsidRDefault="00406B66" w:rsidP="00406B66">
      <w:pPr>
        <w:pStyle w:val="ECHRHeading5"/>
        <w:rPr>
          <w:lang w:val="fr-FR"/>
        </w:rPr>
      </w:pPr>
      <w:r>
        <w:rPr>
          <w:lang w:val="fr-FR"/>
        </w:rPr>
        <w:t>i.</w:t>
      </w:r>
      <w:r w:rsidR="005C7468">
        <w:rPr>
          <w:lang w:val="fr-FR"/>
        </w:rPr>
        <w:t>  </w:t>
      </w:r>
      <w:r w:rsidR="008A3299" w:rsidRPr="00BF14F6">
        <w:rPr>
          <w:lang w:val="fr-FR"/>
        </w:rPr>
        <w:t>L</w:t>
      </w:r>
      <w:r w:rsidR="008A3299">
        <w:rPr>
          <w:lang w:val="fr-FR"/>
        </w:rPr>
        <w:t xml:space="preserve">e </w:t>
      </w:r>
      <w:r w:rsidR="008A3299" w:rsidRPr="00BF14F6">
        <w:rPr>
          <w:lang w:val="fr-FR"/>
        </w:rPr>
        <w:t>Gouvernement</w:t>
      </w:r>
    </w:p>
    <w:p w:rsidR="0032468C" w:rsidRDefault="008A3299" w:rsidP="008A3299">
      <w:pPr>
        <w:ind w:firstLine="232"/>
        <w:rPr>
          <w:rStyle w:val="JuHaChar"/>
          <w:b w:val="0"/>
          <w:sz w:val="24"/>
          <w:szCs w:val="24"/>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138</w:t>
      </w:r>
      <w:r>
        <w:rPr>
          <w:lang w:val="fr-FR"/>
        </w:rPr>
        <w:fldChar w:fldCharType="end"/>
      </w:r>
      <w:r>
        <w:rPr>
          <w:lang w:val="fr-FR"/>
        </w:rPr>
        <w:t>.  </w:t>
      </w:r>
      <w:r w:rsidR="0011094A">
        <w:rPr>
          <w:lang w:val="fr-FR"/>
        </w:rPr>
        <w:t>L</w:t>
      </w:r>
      <w:r>
        <w:rPr>
          <w:lang w:val="fr-FR"/>
        </w:rPr>
        <w:t>e Gouvernement relève d</w:t>
      </w:r>
      <w:r w:rsidR="00603708">
        <w:rPr>
          <w:lang w:val="fr-FR"/>
        </w:rPr>
        <w:t>’</w:t>
      </w:r>
      <w:r>
        <w:rPr>
          <w:lang w:val="fr-FR"/>
        </w:rPr>
        <w:t>abord que la requête a été introduite en janvier 2011</w:t>
      </w:r>
      <w:r w:rsidR="0043098C">
        <w:rPr>
          <w:lang w:val="fr-FR"/>
        </w:rPr>
        <w:t>,</w:t>
      </w:r>
      <w:r>
        <w:rPr>
          <w:lang w:val="fr-FR"/>
        </w:rPr>
        <w:t xml:space="preserve"> avant </w:t>
      </w:r>
      <w:r w:rsidR="00EB32D1">
        <w:rPr>
          <w:lang w:val="fr-FR"/>
        </w:rPr>
        <w:t>que</w:t>
      </w:r>
      <w:r>
        <w:rPr>
          <w:lang w:val="fr-FR"/>
        </w:rPr>
        <w:t xml:space="preserve"> la procédure pénale portant sur les faits </w:t>
      </w:r>
      <w:r w:rsidR="00EB32D1">
        <w:rPr>
          <w:lang w:val="fr-FR"/>
        </w:rPr>
        <w:t>survenus à</w:t>
      </w:r>
      <w:r>
        <w:rPr>
          <w:lang w:val="fr-FR"/>
        </w:rPr>
        <w:t xml:space="preserve"> l</w:t>
      </w:r>
      <w:r w:rsidR="00603708">
        <w:rPr>
          <w:lang w:val="fr-FR"/>
        </w:rPr>
        <w:t>’</w:t>
      </w:r>
      <w:r>
        <w:rPr>
          <w:lang w:val="fr-FR"/>
        </w:rPr>
        <w:t>école Diaz-Pertini</w:t>
      </w:r>
      <w:r w:rsidR="00EB32D1">
        <w:rPr>
          <w:lang w:val="fr-FR"/>
        </w:rPr>
        <w:t xml:space="preserve"> fût terminée</w:t>
      </w:r>
      <w:r>
        <w:rPr>
          <w:lang w:val="fr-FR"/>
        </w:rPr>
        <w:t xml:space="preserve">. </w:t>
      </w:r>
      <w:r w:rsidR="0098505B">
        <w:rPr>
          <w:lang w:val="fr-FR"/>
        </w:rPr>
        <w:t>Il précise à cet égard que</w:t>
      </w:r>
      <w:r>
        <w:rPr>
          <w:lang w:val="fr-FR"/>
        </w:rPr>
        <w:t xml:space="preserve"> </w:t>
      </w:r>
      <w:r w:rsidR="005324BC">
        <w:rPr>
          <w:lang w:val="fr-FR"/>
        </w:rPr>
        <w:t xml:space="preserve">le </w:t>
      </w:r>
      <w:r>
        <w:rPr>
          <w:lang w:val="fr-FR"/>
        </w:rPr>
        <w:t xml:space="preserve">requérant </w:t>
      </w:r>
      <w:r w:rsidR="005324BC">
        <w:rPr>
          <w:lang w:val="fr-FR"/>
        </w:rPr>
        <w:t>a</w:t>
      </w:r>
      <w:r>
        <w:rPr>
          <w:lang w:val="fr-FR"/>
        </w:rPr>
        <w:t xml:space="preserve"> saisi la Cour après l</w:t>
      </w:r>
      <w:r w:rsidR="00603708">
        <w:rPr>
          <w:lang w:val="fr-FR"/>
        </w:rPr>
        <w:t>’</w:t>
      </w:r>
      <w:r>
        <w:rPr>
          <w:lang w:val="fr-FR"/>
        </w:rPr>
        <w:t>arrêt d</w:t>
      </w:r>
      <w:r w:rsidR="00603708">
        <w:rPr>
          <w:lang w:val="fr-FR"/>
        </w:rPr>
        <w:t>’</w:t>
      </w:r>
      <w:r>
        <w:rPr>
          <w:lang w:val="fr-FR"/>
        </w:rPr>
        <w:t>appel</w:t>
      </w:r>
      <w:r w:rsidR="004F3D7D">
        <w:rPr>
          <w:lang w:val="fr-FR"/>
        </w:rPr>
        <w:t xml:space="preserve"> </w:t>
      </w:r>
      <w:r w:rsidR="006730ED">
        <w:rPr>
          <w:lang w:val="fr-FR"/>
        </w:rPr>
        <w:t>du 18 mai 2010, déposé au greffe le 31</w:t>
      </w:r>
      <w:r w:rsidR="001035DE">
        <w:rPr>
          <w:lang w:val="fr-FR"/>
        </w:rPr>
        <w:t> </w:t>
      </w:r>
      <w:r w:rsidR="006730ED">
        <w:rPr>
          <w:lang w:val="fr-FR"/>
        </w:rPr>
        <w:t xml:space="preserve">juillet 2010 </w:t>
      </w:r>
      <w:r w:rsidR="004F3D7D">
        <w:rPr>
          <w:lang w:val="fr-FR"/>
        </w:rPr>
        <w:t>(</w:t>
      </w:r>
      <w:r w:rsidR="004F3D7D" w:rsidRPr="00AC0DAF">
        <w:rPr>
          <w:lang w:val="fr-FR"/>
        </w:rPr>
        <w:t xml:space="preserve">paragraphe </w:t>
      </w:r>
      <w:r w:rsidR="00AD64AB" w:rsidRPr="00AC0DAF">
        <w:rPr>
          <w:lang w:val="fr-FR"/>
        </w:rPr>
        <w:t>59</w:t>
      </w:r>
      <w:r w:rsidR="004F3D7D" w:rsidRPr="00AC0DAF">
        <w:rPr>
          <w:lang w:val="fr-FR"/>
        </w:rPr>
        <w:t xml:space="preserve"> ci-dessus</w:t>
      </w:r>
      <w:r w:rsidR="004F3D7D">
        <w:rPr>
          <w:lang w:val="fr-FR"/>
        </w:rPr>
        <w:t>)</w:t>
      </w:r>
      <w:r w:rsidR="006730ED">
        <w:rPr>
          <w:lang w:val="fr-FR"/>
        </w:rPr>
        <w:t>,</w:t>
      </w:r>
      <w:r>
        <w:rPr>
          <w:lang w:val="fr-FR"/>
        </w:rPr>
        <w:t xml:space="preserve"> mais avant l</w:t>
      </w:r>
      <w:r w:rsidR="00603708">
        <w:rPr>
          <w:lang w:val="fr-FR"/>
        </w:rPr>
        <w:t>’</w:t>
      </w:r>
      <w:r>
        <w:rPr>
          <w:lang w:val="fr-FR"/>
        </w:rPr>
        <w:t>arrêt de la Cour de cassation du</w:t>
      </w:r>
      <w:r w:rsidR="00EF0ECA">
        <w:rPr>
          <w:lang w:val="fr-FR"/>
        </w:rPr>
        <w:t xml:space="preserve"> </w:t>
      </w:r>
      <w:r w:rsidR="0098505B" w:rsidRPr="00CA3929">
        <w:rPr>
          <w:rStyle w:val="JuHaChar"/>
          <w:b w:val="0"/>
          <w:sz w:val="24"/>
          <w:szCs w:val="24"/>
          <w:lang w:val="fr-FR"/>
        </w:rPr>
        <w:t>5</w:t>
      </w:r>
      <w:r w:rsidR="0098505B">
        <w:rPr>
          <w:rStyle w:val="JuHaChar"/>
          <w:b w:val="0"/>
          <w:sz w:val="24"/>
          <w:szCs w:val="24"/>
          <w:lang w:val="fr-FR"/>
        </w:rPr>
        <w:t> </w:t>
      </w:r>
      <w:r w:rsidR="00EF0ECA" w:rsidRPr="00CA3929">
        <w:rPr>
          <w:rStyle w:val="JuHaChar"/>
          <w:b w:val="0"/>
          <w:sz w:val="24"/>
          <w:szCs w:val="24"/>
          <w:lang w:val="fr-FR"/>
        </w:rPr>
        <w:t xml:space="preserve">juillet 2012, déposé </w:t>
      </w:r>
      <w:r w:rsidR="0011094A">
        <w:rPr>
          <w:rStyle w:val="JuHaChar"/>
          <w:b w:val="0"/>
          <w:sz w:val="24"/>
          <w:szCs w:val="24"/>
          <w:lang w:val="fr-FR"/>
        </w:rPr>
        <w:t xml:space="preserve">au greffe </w:t>
      </w:r>
      <w:r w:rsidR="00EF0ECA" w:rsidRPr="00CA3929">
        <w:rPr>
          <w:rStyle w:val="JuHaChar"/>
          <w:b w:val="0"/>
          <w:sz w:val="24"/>
          <w:szCs w:val="24"/>
          <w:lang w:val="fr-FR"/>
        </w:rPr>
        <w:t>le 2 octobre 2012</w:t>
      </w:r>
      <w:r w:rsidR="004F3D7D">
        <w:rPr>
          <w:rStyle w:val="JuHaChar"/>
          <w:b w:val="0"/>
          <w:sz w:val="24"/>
          <w:szCs w:val="24"/>
          <w:lang w:val="fr-FR"/>
        </w:rPr>
        <w:t xml:space="preserve"> </w:t>
      </w:r>
      <w:r w:rsidR="004F3D7D" w:rsidRPr="00944BE0">
        <w:rPr>
          <w:rStyle w:val="JuHaChar"/>
          <w:b w:val="0"/>
          <w:sz w:val="24"/>
          <w:szCs w:val="24"/>
          <w:lang w:val="fr-FR"/>
        </w:rPr>
        <w:t>(</w:t>
      </w:r>
      <w:r w:rsidR="004F3D7D" w:rsidRPr="00AC0DAF">
        <w:rPr>
          <w:rStyle w:val="JuHaChar"/>
          <w:b w:val="0"/>
          <w:sz w:val="24"/>
          <w:szCs w:val="24"/>
          <w:lang w:val="fr-FR"/>
        </w:rPr>
        <w:t xml:space="preserve">paragraphe </w:t>
      </w:r>
      <w:r w:rsidR="00AD64AB" w:rsidRPr="00AC0DAF">
        <w:rPr>
          <w:rStyle w:val="JuHaChar"/>
          <w:b w:val="0"/>
          <w:sz w:val="24"/>
          <w:szCs w:val="24"/>
          <w:lang w:val="fr-FR"/>
        </w:rPr>
        <w:t>76</w:t>
      </w:r>
      <w:r w:rsidR="004F3D7D" w:rsidRPr="00AC0DAF">
        <w:rPr>
          <w:rStyle w:val="JuHaChar"/>
          <w:b w:val="0"/>
          <w:sz w:val="24"/>
          <w:szCs w:val="24"/>
          <w:lang w:val="fr-FR"/>
        </w:rPr>
        <w:t xml:space="preserve"> ci-dessus</w:t>
      </w:r>
      <w:r w:rsidR="004F3D7D" w:rsidRPr="00944BE0">
        <w:rPr>
          <w:rStyle w:val="JuHaChar"/>
          <w:b w:val="0"/>
          <w:sz w:val="24"/>
          <w:szCs w:val="24"/>
          <w:lang w:val="fr-FR"/>
        </w:rPr>
        <w:t>)</w:t>
      </w:r>
      <w:r w:rsidR="00EF0ECA" w:rsidRPr="00944BE0">
        <w:rPr>
          <w:rStyle w:val="JuHaChar"/>
          <w:b w:val="0"/>
          <w:sz w:val="24"/>
          <w:szCs w:val="24"/>
          <w:lang w:val="fr-FR"/>
        </w:rPr>
        <w:t>.</w:t>
      </w:r>
    </w:p>
    <w:p w:rsidR="0011094A" w:rsidRDefault="0011094A" w:rsidP="008A3299">
      <w:pPr>
        <w:ind w:firstLine="232"/>
        <w:rPr>
          <w:lang w:val="fr-FR"/>
        </w:rPr>
      </w:pPr>
      <w:r>
        <w:rPr>
          <w:rStyle w:val="JuHaChar"/>
          <w:b w:val="0"/>
          <w:sz w:val="24"/>
          <w:szCs w:val="24"/>
          <w:lang w:val="fr-FR"/>
        </w:rPr>
        <w:fldChar w:fldCharType="begin"/>
      </w:r>
      <w:r>
        <w:rPr>
          <w:rStyle w:val="JuHaChar"/>
          <w:b w:val="0"/>
          <w:sz w:val="24"/>
          <w:szCs w:val="24"/>
          <w:lang w:val="fr-FR"/>
        </w:rPr>
        <w:instrText xml:space="preserve"> SEQ level0 \*arabic </w:instrText>
      </w:r>
      <w:r>
        <w:rPr>
          <w:rStyle w:val="JuHaChar"/>
          <w:b w:val="0"/>
          <w:sz w:val="24"/>
          <w:szCs w:val="24"/>
          <w:lang w:val="fr-FR"/>
        </w:rPr>
        <w:fldChar w:fldCharType="separate"/>
      </w:r>
      <w:r w:rsidR="00B378F9">
        <w:rPr>
          <w:rStyle w:val="JuHaChar"/>
          <w:b w:val="0"/>
          <w:noProof/>
          <w:sz w:val="24"/>
          <w:szCs w:val="24"/>
          <w:lang w:val="fr-FR"/>
        </w:rPr>
        <w:t>139</w:t>
      </w:r>
      <w:r>
        <w:rPr>
          <w:rStyle w:val="JuHaChar"/>
          <w:b w:val="0"/>
          <w:sz w:val="24"/>
          <w:szCs w:val="24"/>
          <w:lang w:val="fr-FR"/>
        </w:rPr>
        <w:fldChar w:fldCharType="end"/>
      </w:r>
      <w:r>
        <w:rPr>
          <w:rStyle w:val="JuHaChar"/>
          <w:b w:val="0"/>
          <w:sz w:val="24"/>
          <w:szCs w:val="24"/>
          <w:lang w:val="fr-FR"/>
        </w:rPr>
        <w:t xml:space="preserve">.  Ensuite, le Gouvernement </w:t>
      </w:r>
      <w:r w:rsidR="0098505B">
        <w:rPr>
          <w:rStyle w:val="JuHaChar"/>
          <w:b w:val="0"/>
          <w:sz w:val="24"/>
          <w:szCs w:val="24"/>
          <w:lang w:val="fr-FR"/>
        </w:rPr>
        <w:t xml:space="preserve">répète </w:t>
      </w:r>
      <w:r>
        <w:rPr>
          <w:rStyle w:val="JuHaChar"/>
          <w:b w:val="0"/>
          <w:sz w:val="24"/>
          <w:szCs w:val="24"/>
          <w:lang w:val="fr-FR"/>
        </w:rPr>
        <w:t>que</w:t>
      </w:r>
      <w:r w:rsidR="005324BC">
        <w:rPr>
          <w:rStyle w:val="JuHaChar"/>
          <w:b w:val="0"/>
          <w:sz w:val="24"/>
          <w:szCs w:val="24"/>
          <w:lang w:val="fr-FR"/>
        </w:rPr>
        <w:t>, après avoir obtenu une</w:t>
      </w:r>
      <w:r w:rsidR="005324BC" w:rsidRPr="005324BC">
        <w:rPr>
          <w:lang w:val="fr-FR"/>
        </w:rPr>
        <w:t xml:space="preserve"> </w:t>
      </w:r>
      <w:r w:rsidR="005324BC">
        <w:rPr>
          <w:lang w:val="fr-FR"/>
        </w:rPr>
        <w:t xml:space="preserve">provision </w:t>
      </w:r>
      <w:r w:rsidR="001B69FD">
        <w:rPr>
          <w:lang w:val="fr-FR"/>
        </w:rPr>
        <w:t xml:space="preserve">sur les dommages-intérêts </w:t>
      </w:r>
      <w:r w:rsidR="005324BC">
        <w:rPr>
          <w:lang w:val="fr-FR"/>
        </w:rPr>
        <w:t>en 2009</w:t>
      </w:r>
      <w:r w:rsidR="001B69FD">
        <w:rPr>
          <w:lang w:val="fr-FR"/>
        </w:rPr>
        <w:t>,</w:t>
      </w:r>
      <w:r w:rsidR="005324BC">
        <w:rPr>
          <w:lang w:val="fr-FR"/>
        </w:rPr>
        <w:t xml:space="preserve"> dans le cadre de la procédure pénale </w:t>
      </w:r>
      <w:r w:rsidR="005324BC" w:rsidRPr="00944BE0">
        <w:rPr>
          <w:lang w:val="fr-FR"/>
        </w:rPr>
        <w:t>(</w:t>
      </w:r>
      <w:r w:rsidR="005324BC" w:rsidRPr="00AC0DAF">
        <w:rPr>
          <w:lang w:val="fr-FR"/>
        </w:rPr>
        <w:t xml:space="preserve">paragraphe </w:t>
      </w:r>
      <w:r w:rsidR="00AD64AB" w:rsidRPr="00AC0DAF">
        <w:rPr>
          <w:lang w:val="fr-FR"/>
        </w:rPr>
        <w:t>49</w:t>
      </w:r>
      <w:r w:rsidR="005324BC" w:rsidRPr="00AC0DAF">
        <w:rPr>
          <w:lang w:val="fr-FR"/>
        </w:rPr>
        <w:t xml:space="preserve"> ci-dessus</w:t>
      </w:r>
      <w:r w:rsidR="005324BC" w:rsidRPr="00944BE0">
        <w:rPr>
          <w:lang w:val="fr-FR"/>
        </w:rPr>
        <w:t>),</w:t>
      </w:r>
      <w:r>
        <w:rPr>
          <w:rStyle w:val="JuHaChar"/>
          <w:b w:val="0"/>
          <w:sz w:val="24"/>
          <w:szCs w:val="24"/>
          <w:lang w:val="fr-FR"/>
        </w:rPr>
        <w:t xml:space="preserve"> le requérant n</w:t>
      </w:r>
      <w:r w:rsidR="00603708">
        <w:rPr>
          <w:rStyle w:val="JuHaChar"/>
          <w:b w:val="0"/>
          <w:sz w:val="24"/>
          <w:szCs w:val="24"/>
          <w:lang w:val="fr-FR"/>
        </w:rPr>
        <w:t>’</w:t>
      </w:r>
      <w:r>
        <w:rPr>
          <w:rStyle w:val="JuHaChar"/>
          <w:b w:val="0"/>
          <w:sz w:val="24"/>
          <w:szCs w:val="24"/>
          <w:lang w:val="fr-FR"/>
        </w:rPr>
        <w:t xml:space="preserve">a pas entamé une procédure civile </w:t>
      </w:r>
      <w:r w:rsidR="00F50A7E">
        <w:rPr>
          <w:lang w:val="fr-FR"/>
        </w:rPr>
        <w:t xml:space="preserve">ultérieure </w:t>
      </w:r>
      <w:r w:rsidR="001B69FD">
        <w:rPr>
          <w:lang w:val="fr-FR"/>
        </w:rPr>
        <w:t>aux fins de</w:t>
      </w:r>
      <w:r w:rsidR="00EB32D1">
        <w:rPr>
          <w:lang w:val="fr-FR"/>
        </w:rPr>
        <w:t xml:space="preserve"> </w:t>
      </w:r>
      <w:r w:rsidR="005324BC">
        <w:rPr>
          <w:lang w:val="fr-FR"/>
        </w:rPr>
        <w:t>la détermination</w:t>
      </w:r>
      <w:r w:rsidR="00F50A7E">
        <w:rPr>
          <w:lang w:val="fr-FR"/>
        </w:rPr>
        <w:t xml:space="preserve"> </w:t>
      </w:r>
      <w:r w:rsidR="005324BC">
        <w:rPr>
          <w:lang w:val="fr-FR"/>
        </w:rPr>
        <w:t xml:space="preserve">globale et définitive </w:t>
      </w:r>
      <w:r w:rsidR="00F50A7E">
        <w:rPr>
          <w:lang w:val="fr-FR"/>
        </w:rPr>
        <w:t xml:space="preserve">des dommages-intérêts au titre du préjudice </w:t>
      </w:r>
      <w:r w:rsidR="001B69FD">
        <w:rPr>
          <w:lang w:val="fr-FR"/>
        </w:rPr>
        <w:t>subi du fait</w:t>
      </w:r>
      <w:r w:rsidR="00B8300A">
        <w:rPr>
          <w:lang w:val="fr-FR"/>
        </w:rPr>
        <w:t xml:space="preserve"> des mauvais traitements </w:t>
      </w:r>
      <w:r w:rsidR="0098505B">
        <w:rPr>
          <w:lang w:val="fr-FR"/>
        </w:rPr>
        <w:t>en cause</w:t>
      </w:r>
      <w:r w:rsidR="00F50A7E">
        <w:rPr>
          <w:lang w:val="fr-FR"/>
        </w:rPr>
        <w:t>.</w:t>
      </w:r>
    </w:p>
    <w:p w:rsidR="005324BC" w:rsidRDefault="00F50A7E" w:rsidP="008A3299">
      <w:pPr>
        <w:ind w:firstLine="232"/>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140</w:t>
      </w:r>
      <w:r>
        <w:rPr>
          <w:lang w:val="fr-FR"/>
        </w:rPr>
        <w:fldChar w:fldCharType="end"/>
      </w:r>
      <w:r>
        <w:rPr>
          <w:lang w:val="fr-FR"/>
        </w:rPr>
        <w:t>.  </w:t>
      </w:r>
      <w:r w:rsidR="00DD41D1">
        <w:rPr>
          <w:lang w:val="fr-FR"/>
        </w:rPr>
        <w:t>En somme, lors de l</w:t>
      </w:r>
      <w:r w:rsidR="00603708">
        <w:rPr>
          <w:lang w:val="fr-FR"/>
        </w:rPr>
        <w:t>’</w:t>
      </w:r>
      <w:r w:rsidR="00DD41D1">
        <w:rPr>
          <w:lang w:val="fr-FR"/>
        </w:rPr>
        <w:t xml:space="preserve">introduction de sa requête devant la Cour, </w:t>
      </w:r>
      <w:r>
        <w:rPr>
          <w:lang w:val="fr-FR"/>
        </w:rPr>
        <w:t>le requérant n</w:t>
      </w:r>
      <w:r w:rsidR="00603708">
        <w:rPr>
          <w:lang w:val="fr-FR"/>
        </w:rPr>
        <w:t>’</w:t>
      </w:r>
      <w:r>
        <w:rPr>
          <w:lang w:val="fr-FR"/>
        </w:rPr>
        <w:t xml:space="preserve">aurait pas </w:t>
      </w:r>
      <w:r w:rsidR="00DD41D1">
        <w:rPr>
          <w:lang w:val="fr-FR"/>
        </w:rPr>
        <w:t xml:space="preserve">préalablement </w:t>
      </w:r>
      <w:r>
        <w:rPr>
          <w:lang w:val="fr-FR"/>
        </w:rPr>
        <w:t xml:space="preserve">épuisé les voies de recours pénales et civiles disponibles </w:t>
      </w:r>
      <w:r w:rsidR="00DD41D1">
        <w:rPr>
          <w:lang w:val="fr-FR"/>
        </w:rPr>
        <w:t>au niveau national,</w:t>
      </w:r>
      <w:r w:rsidR="0098505B">
        <w:rPr>
          <w:lang w:val="fr-FR"/>
        </w:rPr>
        <w:t xml:space="preserve"> et ce, d</w:t>
      </w:r>
      <w:r w:rsidR="00603708">
        <w:rPr>
          <w:lang w:val="fr-FR"/>
        </w:rPr>
        <w:t>’</w:t>
      </w:r>
      <w:r w:rsidR="0098505B">
        <w:rPr>
          <w:lang w:val="fr-FR"/>
        </w:rPr>
        <w:t>après le Gouvernement,</w:t>
      </w:r>
      <w:r w:rsidR="00DD41D1">
        <w:rPr>
          <w:lang w:val="fr-FR"/>
        </w:rPr>
        <w:t xml:space="preserve"> au mépris de</w:t>
      </w:r>
      <w:r>
        <w:rPr>
          <w:lang w:val="fr-FR"/>
        </w:rPr>
        <w:t xml:space="preserve"> l</w:t>
      </w:r>
      <w:r w:rsidR="00603708">
        <w:rPr>
          <w:lang w:val="fr-FR"/>
        </w:rPr>
        <w:t>’</w:t>
      </w:r>
      <w:r>
        <w:rPr>
          <w:lang w:val="fr-FR"/>
        </w:rPr>
        <w:t>article 35 § 1 de la Convention.</w:t>
      </w:r>
    </w:p>
    <w:p w:rsidR="00A76DCF" w:rsidRDefault="00406B66" w:rsidP="00406B66">
      <w:pPr>
        <w:pStyle w:val="ECHRHeading5"/>
        <w:rPr>
          <w:lang w:val="fr-FR"/>
        </w:rPr>
      </w:pPr>
      <w:r>
        <w:rPr>
          <w:lang w:val="fr-FR"/>
        </w:rPr>
        <w:t>ii.</w:t>
      </w:r>
      <w:r w:rsidR="00A76DCF" w:rsidRPr="00BF14F6">
        <w:rPr>
          <w:lang w:val="fr-FR"/>
        </w:rPr>
        <w:t>  L</w:t>
      </w:r>
      <w:r w:rsidR="00A76DCF">
        <w:rPr>
          <w:lang w:val="fr-FR"/>
        </w:rPr>
        <w:t>e requérant</w:t>
      </w:r>
    </w:p>
    <w:p w:rsidR="0032468C" w:rsidRDefault="00A76DCF" w:rsidP="00A76DCF">
      <w:pPr>
        <w:ind w:firstLine="232"/>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141</w:t>
      </w:r>
      <w:r>
        <w:rPr>
          <w:lang w:val="fr-FR"/>
        </w:rPr>
        <w:fldChar w:fldCharType="end"/>
      </w:r>
      <w:r>
        <w:rPr>
          <w:lang w:val="fr-FR"/>
        </w:rPr>
        <w:t>.  </w:t>
      </w:r>
      <w:r w:rsidR="0098505B">
        <w:rPr>
          <w:lang w:val="fr-FR"/>
        </w:rPr>
        <w:t>Pour l</w:t>
      </w:r>
      <w:r w:rsidR="00AE3A52">
        <w:rPr>
          <w:lang w:val="fr-FR"/>
        </w:rPr>
        <w:t>e requérant</w:t>
      </w:r>
      <w:r w:rsidR="0098505B">
        <w:rPr>
          <w:lang w:val="fr-FR"/>
        </w:rPr>
        <w:t>,</w:t>
      </w:r>
      <w:r w:rsidR="00075733">
        <w:rPr>
          <w:lang w:val="fr-FR"/>
        </w:rPr>
        <w:t xml:space="preserve"> l</w:t>
      </w:r>
      <w:r w:rsidR="00603708">
        <w:rPr>
          <w:lang w:val="fr-FR"/>
        </w:rPr>
        <w:t>’</w:t>
      </w:r>
      <w:r w:rsidR="00075733">
        <w:rPr>
          <w:lang w:val="fr-FR"/>
        </w:rPr>
        <w:t>obligation d</w:t>
      </w:r>
      <w:r w:rsidR="00603708">
        <w:rPr>
          <w:lang w:val="fr-FR"/>
        </w:rPr>
        <w:t>’</w:t>
      </w:r>
      <w:r w:rsidR="00075733">
        <w:rPr>
          <w:lang w:val="fr-FR"/>
        </w:rPr>
        <w:t>épuisement des voies de recours internes aux termes de l</w:t>
      </w:r>
      <w:r w:rsidR="00603708">
        <w:rPr>
          <w:lang w:val="fr-FR"/>
        </w:rPr>
        <w:t>’</w:t>
      </w:r>
      <w:r w:rsidR="00075733">
        <w:rPr>
          <w:lang w:val="fr-FR"/>
        </w:rPr>
        <w:t xml:space="preserve">article 35 § 1 </w:t>
      </w:r>
      <w:r w:rsidR="00EB32D1">
        <w:rPr>
          <w:lang w:val="fr-FR"/>
        </w:rPr>
        <w:t xml:space="preserve">de la Convention </w:t>
      </w:r>
      <w:r w:rsidR="00075733">
        <w:rPr>
          <w:lang w:val="fr-FR"/>
        </w:rPr>
        <w:t>n</w:t>
      </w:r>
      <w:r w:rsidR="00603708">
        <w:rPr>
          <w:lang w:val="fr-FR"/>
        </w:rPr>
        <w:t>’</w:t>
      </w:r>
      <w:r w:rsidR="00075733">
        <w:rPr>
          <w:lang w:val="fr-FR"/>
        </w:rPr>
        <w:t>est applicable que dans la mesure où</w:t>
      </w:r>
      <w:r w:rsidR="008C4C6D">
        <w:rPr>
          <w:lang w:val="fr-FR"/>
        </w:rPr>
        <w:t xml:space="preserve"> il existe</w:t>
      </w:r>
      <w:r w:rsidR="00075733">
        <w:rPr>
          <w:lang w:val="fr-FR"/>
        </w:rPr>
        <w:t xml:space="preserve">, au niveau national, des recours permettant </w:t>
      </w:r>
      <w:r w:rsidR="008C4C6D">
        <w:rPr>
          <w:lang w:val="fr-FR"/>
        </w:rPr>
        <w:t>d</w:t>
      </w:r>
      <w:r w:rsidR="00603708">
        <w:rPr>
          <w:lang w:val="fr-FR"/>
        </w:rPr>
        <w:t>’</w:t>
      </w:r>
      <w:r w:rsidR="008C4C6D">
        <w:rPr>
          <w:lang w:val="fr-FR"/>
        </w:rPr>
        <w:t>établir</w:t>
      </w:r>
      <w:r w:rsidR="00075733">
        <w:rPr>
          <w:lang w:val="fr-FR"/>
        </w:rPr>
        <w:t xml:space="preserve"> la violation de la Convention en question et d</w:t>
      </w:r>
      <w:r w:rsidR="00603708">
        <w:rPr>
          <w:lang w:val="fr-FR"/>
        </w:rPr>
        <w:t>’</w:t>
      </w:r>
      <w:r w:rsidR="00075733">
        <w:rPr>
          <w:lang w:val="fr-FR"/>
        </w:rPr>
        <w:t>offrir un redressement adéquat</w:t>
      </w:r>
      <w:r w:rsidR="00D6242F">
        <w:rPr>
          <w:lang w:val="fr-FR"/>
        </w:rPr>
        <w:t xml:space="preserve"> à la victime</w:t>
      </w:r>
      <w:r w:rsidR="00075733">
        <w:rPr>
          <w:lang w:val="fr-FR"/>
        </w:rPr>
        <w:t>.</w:t>
      </w:r>
    </w:p>
    <w:p w:rsidR="0032468C" w:rsidRDefault="00445316" w:rsidP="00A76DCF">
      <w:pPr>
        <w:ind w:firstLine="232"/>
        <w:rPr>
          <w:lang w:val="fr-FR"/>
        </w:rPr>
      </w:pPr>
      <w:r w:rsidRPr="0099734C">
        <w:rPr>
          <w:lang w:val="fr-FR"/>
        </w:rPr>
        <w:fldChar w:fldCharType="begin"/>
      </w:r>
      <w:r w:rsidRPr="00AA3BA8">
        <w:rPr>
          <w:lang w:val="fr-FR"/>
        </w:rPr>
        <w:instrText xml:space="preserve"> SEQ level0 \*arabic </w:instrText>
      </w:r>
      <w:r w:rsidRPr="0099734C">
        <w:rPr>
          <w:lang w:val="fr-FR"/>
        </w:rPr>
        <w:fldChar w:fldCharType="separate"/>
      </w:r>
      <w:r w:rsidR="00B378F9">
        <w:rPr>
          <w:noProof/>
          <w:lang w:val="fr-FR"/>
        </w:rPr>
        <w:t>142</w:t>
      </w:r>
      <w:r w:rsidRPr="0099734C">
        <w:rPr>
          <w:lang w:val="fr-FR"/>
        </w:rPr>
        <w:fldChar w:fldCharType="end"/>
      </w:r>
      <w:r w:rsidRPr="00AA3BA8">
        <w:rPr>
          <w:lang w:val="fr-FR"/>
        </w:rPr>
        <w:t>.  </w:t>
      </w:r>
      <w:r w:rsidR="002F634D" w:rsidRPr="00AA3BA8">
        <w:rPr>
          <w:lang w:val="fr-FR"/>
        </w:rPr>
        <w:t>En l</w:t>
      </w:r>
      <w:r w:rsidR="00603708">
        <w:rPr>
          <w:lang w:val="fr-FR"/>
        </w:rPr>
        <w:t>’</w:t>
      </w:r>
      <w:r w:rsidR="002F634D" w:rsidRPr="00AA3BA8">
        <w:rPr>
          <w:lang w:val="fr-FR"/>
        </w:rPr>
        <w:t xml:space="preserve">espèce, </w:t>
      </w:r>
      <w:r w:rsidR="0098505B" w:rsidRPr="00AA3BA8">
        <w:rPr>
          <w:lang w:val="fr-FR"/>
        </w:rPr>
        <w:t xml:space="preserve">il allègue que </w:t>
      </w:r>
      <w:r w:rsidRPr="00AA3BA8">
        <w:rPr>
          <w:lang w:val="fr-FR"/>
        </w:rPr>
        <w:t xml:space="preserve">les violences et les mauvais traitements </w:t>
      </w:r>
      <w:r w:rsidR="0098505B" w:rsidRPr="00AA3BA8">
        <w:rPr>
          <w:lang w:val="fr-FR"/>
        </w:rPr>
        <w:t xml:space="preserve">qui auraient été </w:t>
      </w:r>
      <w:r w:rsidRPr="00AA3BA8">
        <w:rPr>
          <w:lang w:val="fr-FR"/>
        </w:rPr>
        <w:t xml:space="preserve">perpétrés par la police lors de </w:t>
      </w:r>
      <w:r w:rsidR="00AA3BA8" w:rsidRPr="00AA3BA8">
        <w:rPr>
          <w:lang w:val="fr-FR"/>
        </w:rPr>
        <w:t>leur irruption</w:t>
      </w:r>
      <w:r w:rsidRPr="00AA3BA8">
        <w:rPr>
          <w:lang w:val="fr-FR"/>
        </w:rPr>
        <w:t xml:space="preserve"> dans l</w:t>
      </w:r>
      <w:r w:rsidR="00603708">
        <w:rPr>
          <w:lang w:val="fr-FR"/>
        </w:rPr>
        <w:t>’</w:t>
      </w:r>
      <w:r w:rsidRPr="00AA3BA8">
        <w:rPr>
          <w:lang w:val="fr-FR"/>
        </w:rPr>
        <w:t xml:space="preserve">école Diaz-Pertini et dont </w:t>
      </w:r>
      <w:r w:rsidR="00B8300A" w:rsidRPr="00AA3BA8">
        <w:rPr>
          <w:lang w:val="fr-FR"/>
        </w:rPr>
        <w:t>il</w:t>
      </w:r>
      <w:r w:rsidRPr="00AA3BA8">
        <w:rPr>
          <w:lang w:val="fr-FR"/>
        </w:rPr>
        <w:t xml:space="preserve"> a</w:t>
      </w:r>
      <w:r w:rsidR="00DF202D" w:rsidRPr="00AA3BA8">
        <w:rPr>
          <w:lang w:val="fr-FR"/>
        </w:rPr>
        <w:t>urait</w:t>
      </w:r>
      <w:r w:rsidRPr="00AA3BA8">
        <w:rPr>
          <w:lang w:val="fr-FR"/>
        </w:rPr>
        <w:t xml:space="preserve"> été victime n</w:t>
      </w:r>
      <w:r w:rsidR="00603708">
        <w:rPr>
          <w:lang w:val="fr-FR"/>
        </w:rPr>
        <w:t>’</w:t>
      </w:r>
      <w:r w:rsidRPr="00AA3BA8">
        <w:rPr>
          <w:lang w:val="fr-FR"/>
        </w:rPr>
        <w:t xml:space="preserve">ont jamais été </w:t>
      </w:r>
      <w:r w:rsidR="00DF202D" w:rsidRPr="00AA3BA8">
        <w:rPr>
          <w:lang w:val="fr-FR"/>
        </w:rPr>
        <w:t xml:space="preserve">véritablement </w:t>
      </w:r>
      <w:r w:rsidRPr="00AA3BA8">
        <w:rPr>
          <w:lang w:val="fr-FR"/>
        </w:rPr>
        <w:t>contestés dans le cadre de la procédure pénale (voir</w:t>
      </w:r>
      <w:r w:rsidR="00A56950" w:rsidRPr="00AA3BA8">
        <w:rPr>
          <w:lang w:val="fr-FR"/>
        </w:rPr>
        <w:t>, en particulier,</w:t>
      </w:r>
      <w:r w:rsidRPr="00AA3BA8">
        <w:rPr>
          <w:lang w:val="fr-FR"/>
        </w:rPr>
        <w:t xml:space="preserve"> l</w:t>
      </w:r>
      <w:r w:rsidR="00603708">
        <w:rPr>
          <w:lang w:val="fr-FR"/>
        </w:rPr>
        <w:t>’</w:t>
      </w:r>
      <w:r w:rsidRPr="00AA3BA8">
        <w:rPr>
          <w:lang w:val="fr-FR"/>
        </w:rPr>
        <w:t>arrêt</w:t>
      </w:r>
      <w:r>
        <w:rPr>
          <w:lang w:val="fr-FR"/>
        </w:rPr>
        <w:t xml:space="preserve"> de </w:t>
      </w:r>
      <w:r w:rsidR="002F634D">
        <w:rPr>
          <w:lang w:val="fr-FR"/>
        </w:rPr>
        <w:t>la Cour de cassation</w:t>
      </w:r>
      <w:r w:rsidR="00DF202D">
        <w:rPr>
          <w:lang w:val="fr-FR"/>
        </w:rPr>
        <w:t>,</w:t>
      </w:r>
      <w:r w:rsidR="002F634D">
        <w:rPr>
          <w:lang w:val="fr-FR"/>
        </w:rPr>
        <w:t xml:space="preserve"> </w:t>
      </w:r>
      <w:r w:rsidR="009E322A" w:rsidRPr="00AC0DAF">
        <w:rPr>
          <w:lang w:val="fr-FR"/>
        </w:rPr>
        <w:t>paragraphe 77</w:t>
      </w:r>
      <w:r w:rsidR="00A56950" w:rsidRPr="00AC0DAF">
        <w:rPr>
          <w:lang w:val="fr-FR"/>
        </w:rPr>
        <w:t xml:space="preserve"> </w:t>
      </w:r>
      <w:r w:rsidR="002F634D" w:rsidRPr="00AC0DAF">
        <w:rPr>
          <w:lang w:val="fr-FR"/>
        </w:rPr>
        <w:t>ci-dessus</w:t>
      </w:r>
      <w:r w:rsidR="002F634D">
        <w:rPr>
          <w:lang w:val="fr-FR"/>
        </w:rPr>
        <w:t>)</w:t>
      </w:r>
      <w:r>
        <w:rPr>
          <w:lang w:val="fr-FR"/>
        </w:rPr>
        <w:t>.</w:t>
      </w:r>
      <w:r w:rsidR="002F634D">
        <w:rPr>
          <w:lang w:val="fr-FR"/>
        </w:rPr>
        <w:t xml:space="preserve"> </w:t>
      </w:r>
      <w:r w:rsidR="00DF202D">
        <w:rPr>
          <w:lang w:val="fr-FR"/>
        </w:rPr>
        <w:t>Il estime que c</w:t>
      </w:r>
      <w:r w:rsidR="00603708">
        <w:rPr>
          <w:lang w:val="fr-FR"/>
        </w:rPr>
        <w:t>’</w:t>
      </w:r>
      <w:r w:rsidR="002F634D">
        <w:rPr>
          <w:lang w:val="fr-FR"/>
        </w:rPr>
        <w:t xml:space="preserve">est en raison de défaillances du système juridique italien </w:t>
      </w:r>
      <w:r>
        <w:rPr>
          <w:lang w:val="fr-FR"/>
        </w:rPr>
        <w:t xml:space="preserve">que cette </w:t>
      </w:r>
      <w:r w:rsidR="002F634D">
        <w:rPr>
          <w:lang w:val="fr-FR"/>
        </w:rPr>
        <w:t>procédure pénale</w:t>
      </w:r>
      <w:r>
        <w:rPr>
          <w:lang w:val="fr-FR"/>
        </w:rPr>
        <w:t>, à laquelle il</w:t>
      </w:r>
      <w:r w:rsidR="002F634D">
        <w:rPr>
          <w:lang w:val="fr-FR"/>
        </w:rPr>
        <w:t xml:space="preserve"> a été partie civile, n</w:t>
      </w:r>
      <w:r w:rsidR="00603708">
        <w:rPr>
          <w:lang w:val="fr-FR"/>
        </w:rPr>
        <w:t>’</w:t>
      </w:r>
      <w:r w:rsidR="002F634D">
        <w:rPr>
          <w:lang w:val="fr-FR"/>
        </w:rPr>
        <w:t xml:space="preserve">a pas </w:t>
      </w:r>
      <w:r w:rsidR="009E322A">
        <w:rPr>
          <w:lang w:val="fr-FR"/>
        </w:rPr>
        <w:t>abouti</w:t>
      </w:r>
      <w:r w:rsidR="002F634D">
        <w:rPr>
          <w:lang w:val="fr-FR"/>
        </w:rPr>
        <w:t xml:space="preserve"> à une sanction adéquate </w:t>
      </w:r>
      <w:r w:rsidR="008D1791">
        <w:rPr>
          <w:lang w:val="fr-FR"/>
        </w:rPr>
        <w:t xml:space="preserve">des responsables </w:t>
      </w:r>
      <w:r w:rsidR="00DD41D1">
        <w:rPr>
          <w:lang w:val="fr-FR"/>
        </w:rPr>
        <w:t>de</w:t>
      </w:r>
      <w:r w:rsidR="00B8300A">
        <w:rPr>
          <w:lang w:val="fr-FR"/>
        </w:rPr>
        <w:t xml:space="preserve"> ces</w:t>
      </w:r>
      <w:r w:rsidR="002F634D">
        <w:rPr>
          <w:lang w:val="fr-FR"/>
        </w:rPr>
        <w:t xml:space="preserve"> mauvais traitements</w:t>
      </w:r>
      <w:r>
        <w:rPr>
          <w:lang w:val="fr-FR"/>
        </w:rPr>
        <w:t>.</w:t>
      </w:r>
    </w:p>
    <w:p w:rsidR="00603708" w:rsidRDefault="00445316" w:rsidP="00A76DCF">
      <w:pPr>
        <w:ind w:firstLine="232"/>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143</w:t>
      </w:r>
      <w:r>
        <w:rPr>
          <w:lang w:val="fr-FR"/>
        </w:rPr>
        <w:fldChar w:fldCharType="end"/>
      </w:r>
      <w:r>
        <w:rPr>
          <w:lang w:val="fr-FR"/>
        </w:rPr>
        <w:t>.  </w:t>
      </w:r>
      <w:r w:rsidR="00410FF4">
        <w:rPr>
          <w:lang w:val="fr-FR"/>
        </w:rPr>
        <w:t xml:space="preserve">Compte tenu de ce qui précède, le requérant </w:t>
      </w:r>
      <w:r w:rsidR="00DF202D">
        <w:rPr>
          <w:lang w:val="fr-FR"/>
        </w:rPr>
        <w:t xml:space="preserve">considère </w:t>
      </w:r>
      <w:r w:rsidR="00410FF4">
        <w:rPr>
          <w:lang w:val="fr-FR"/>
        </w:rPr>
        <w:t>qu</w:t>
      </w:r>
      <w:r w:rsidR="00603708">
        <w:rPr>
          <w:lang w:val="fr-FR"/>
        </w:rPr>
        <w:t>’</w:t>
      </w:r>
      <w:r w:rsidR="00410FF4">
        <w:rPr>
          <w:lang w:val="fr-FR"/>
        </w:rPr>
        <w:t xml:space="preserve">une procédure civile ultérieure, visant </w:t>
      </w:r>
      <w:r w:rsidR="00DF202D">
        <w:rPr>
          <w:lang w:val="fr-FR"/>
        </w:rPr>
        <w:t xml:space="preserve">à </w:t>
      </w:r>
      <w:r w:rsidR="00410FF4">
        <w:rPr>
          <w:lang w:val="fr-FR"/>
        </w:rPr>
        <w:t xml:space="preserve">la liquidation globale et définitive des dommages-intérêts au titre du préjudice souffert, ne </w:t>
      </w:r>
      <w:r w:rsidR="00DF202D">
        <w:rPr>
          <w:lang w:val="fr-FR"/>
        </w:rPr>
        <w:t xml:space="preserve">peut </w:t>
      </w:r>
      <w:r w:rsidR="00410FF4">
        <w:rPr>
          <w:lang w:val="fr-FR"/>
        </w:rPr>
        <w:t>être</w:t>
      </w:r>
      <w:r w:rsidR="0032468C">
        <w:rPr>
          <w:lang w:val="fr-FR"/>
        </w:rPr>
        <w:t xml:space="preserve"> </w:t>
      </w:r>
      <w:r w:rsidR="00410FF4">
        <w:rPr>
          <w:lang w:val="fr-FR"/>
        </w:rPr>
        <w:t xml:space="preserve">considérée comme une </w:t>
      </w:r>
      <w:r>
        <w:rPr>
          <w:lang w:val="fr-FR"/>
        </w:rPr>
        <w:t xml:space="preserve">voie de recours effective </w:t>
      </w:r>
      <w:r w:rsidR="00DF202D">
        <w:rPr>
          <w:lang w:val="fr-FR"/>
        </w:rPr>
        <w:t xml:space="preserve">susceptible de </w:t>
      </w:r>
      <w:r>
        <w:rPr>
          <w:lang w:val="fr-FR"/>
        </w:rPr>
        <w:t xml:space="preserve">redresser les violations </w:t>
      </w:r>
      <w:r w:rsidR="00410FF4">
        <w:rPr>
          <w:lang w:val="fr-FR"/>
        </w:rPr>
        <w:t>de l</w:t>
      </w:r>
      <w:r w:rsidR="00603708">
        <w:rPr>
          <w:lang w:val="fr-FR"/>
        </w:rPr>
        <w:t>’</w:t>
      </w:r>
      <w:r w:rsidR="00410FF4">
        <w:rPr>
          <w:lang w:val="fr-FR"/>
        </w:rPr>
        <w:t xml:space="preserve">article 3 de la Convention </w:t>
      </w:r>
      <w:r>
        <w:rPr>
          <w:lang w:val="fr-FR"/>
        </w:rPr>
        <w:t>dont il a</w:t>
      </w:r>
      <w:r w:rsidR="00DF202D">
        <w:rPr>
          <w:lang w:val="fr-FR"/>
        </w:rPr>
        <w:t>urait</w:t>
      </w:r>
      <w:r>
        <w:rPr>
          <w:lang w:val="fr-FR"/>
        </w:rPr>
        <w:t xml:space="preserve"> été victime.</w:t>
      </w:r>
    </w:p>
    <w:p w:rsidR="0032468C" w:rsidRDefault="00410FF4" w:rsidP="00B66E64">
      <w:pPr>
        <w:ind w:firstLine="232"/>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144</w:t>
      </w:r>
      <w:r>
        <w:rPr>
          <w:lang w:val="fr-FR"/>
        </w:rPr>
        <w:fldChar w:fldCharType="end"/>
      </w:r>
      <w:r>
        <w:rPr>
          <w:lang w:val="fr-FR"/>
        </w:rPr>
        <w:t>. </w:t>
      </w:r>
      <w:r w:rsidR="00DF202D">
        <w:rPr>
          <w:lang w:val="fr-FR"/>
        </w:rPr>
        <w:t> </w:t>
      </w:r>
      <w:r>
        <w:rPr>
          <w:lang w:val="fr-FR"/>
        </w:rPr>
        <w:t>Quant au caractère prétendument prématuré de la requête découlant du fait qu</w:t>
      </w:r>
      <w:r w:rsidR="00603708">
        <w:rPr>
          <w:lang w:val="fr-FR"/>
        </w:rPr>
        <w:t>’</w:t>
      </w:r>
      <w:r>
        <w:rPr>
          <w:lang w:val="fr-FR"/>
        </w:rPr>
        <w:t>elle a été introduite avant l</w:t>
      </w:r>
      <w:r w:rsidR="00603708">
        <w:rPr>
          <w:lang w:val="fr-FR"/>
        </w:rPr>
        <w:t>’</w:t>
      </w:r>
      <w:r>
        <w:rPr>
          <w:lang w:val="fr-FR"/>
        </w:rPr>
        <w:t xml:space="preserve">arrêt de la Cour de cassation, le requérant </w:t>
      </w:r>
      <w:r w:rsidR="00164904">
        <w:rPr>
          <w:lang w:val="fr-FR"/>
        </w:rPr>
        <w:t>indique</w:t>
      </w:r>
      <w:r>
        <w:rPr>
          <w:lang w:val="fr-FR"/>
        </w:rPr>
        <w:t xml:space="preserve"> que </w:t>
      </w:r>
      <w:r w:rsidR="00075733">
        <w:rPr>
          <w:lang w:val="fr-FR"/>
        </w:rPr>
        <w:t>l</w:t>
      </w:r>
      <w:r w:rsidR="00603708">
        <w:rPr>
          <w:lang w:val="fr-FR"/>
        </w:rPr>
        <w:t>’</w:t>
      </w:r>
      <w:r w:rsidR="00075733">
        <w:rPr>
          <w:lang w:val="fr-FR"/>
        </w:rPr>
        <w:t>arrêt d</w:t>
      </w:r>
      <w:r w:rsidR="00603708">
        <w:rPr>
          <w:lang w:val="fr-FR"/>
        </w:rPr>
        <w:t>’</w:t>
      </w:r>
      <w:r w:rsidR="00075733">
        <w:rPr>
          <w:lang w:val="fr-FR"/>
        </w:rPr>
        <w:t>appel</w:t>
      </w:r>
      <w:r w:rsidR="00AE3A52">
        <w:rPr>
          <w:lang w:val="fr-FR"/>
        </w:rPr>
        <w:t xml:space="preserve"> </w:t>
      </w:r>
      <w:r w:rsidR="00075733">
        <w:rPr>
          <w:lang w:val="fr-FR"/>
        </w:rPr>
        <w:t>(</w:t>
      </w:r>
      <w:r w:rsidR="00075733" w:rsidRPr="00AC0DAF">
        <w:rPr>
          <w:lang w:val="fr-FR"/>
        </w:rPr>
        <w:t xml:space="preserve">paragraphe </w:t>
      </w:r>
      <w:r w:rsidR="00DC606A" w:rsidRPr="00AC0DAF">
        <w:rPr>
          <w:lang w:val="fr-FR"/>
        </w:rPr>
        <w:t>61</w:t>
      </w:r>
      <w:r w:rsidR="00075733" w:rsidRPr="00AC0DAF">
        <w:rPr>
          <w:lang w:val="fr-FR"/>
        </w:rPr>
        <w:t xml:space="preserve"> ci-dessus</w:t>
      </w:r>
      <w:r w:rsidR="00075733">
        <w:rPr>
          <w:lang w:val="fr-FR"/>
        </w:rPr>
        <w:t>) a</w:t>
      </w:r>
      <w:r>
        <w:rPr>
          <w:lang w:val="fr-FR"/>
        </w:rPr>
        <w:t>vait</w:t>
      </w:r>
      <w:r w:rsidR="00075733">
        <w:rPr>
          <w:lang w:val="fr-FR"/>
        </w:rPr>
        <w:t xml:space="preserve"> </w:t>
      </w:r>
      <w:r>
        <w:rPr>
          <w:lang w:val="fr-FR"/>
        </w:rPr>
        <w:t xml:space="preserve">déjà </w:t>
      </w:r>
      <w:r w:rsidR="00075733">
        <w:rPr>
          <w:lang w:val="fr-FR"/>
        </w:rPr>
        <w:t>déclaré</w:t>
      </w:r>
      <w:r w:rsidR="008D1791">
        <w:rPr>
          <w:lang w:val="fr-FR"/>
        </w:rPr>
        <w:t>s</w:t>
      </w:r>
      <w:r w:rsidR="00075733">
        <w:rPr>
          <w:lang w:val="fr-FR"/>
        </w:rPr>
        <w:t xml:space="preserve"> prescri</w:t>
      </w:r>
      <w:r w:rsidR="008D1791">
        <w:rPr>
          <w:lang w:val="fr-FR"/>
        </w:rPr>
        <w:t>ts</w:t>
      </w:r>
      <w:r w:rsidR="00D6242F">
        <w:rPr>
          <w:lang w:val="fr-FR"/>
        </w:rPr>
        <w:t xml:space="preserve"> la plupart des délits au titre desquels les responsables des actes litigieux </w:t>
      </w:r>
      <w:r w:rsidR="00DC606A">
        <w:rPr>
          <w:lang w:val="fr-FR"/>
        </w:rPr>
        <w:t>a</w:t>
      </w:r>
      <w:r w:rsidR="00164904">
        <w:rPr>
          <w:lang w:val="fr-FR"/>
        </w:rPr>
        <w:t>ur</w:t>
      </w:r>
      <w:r w:rsidR="00DC606A">
        <w:rPr>
          <w:lang w:val="fr-FR"/>
        </w:rPr>
        <w:t xml:space="preserve">aient été </w:t>
      </w:r>
      <w:r w:rsidR="00D6242F">
        <w:rPr>
          <w:lang w:val="fr-FR"/>
        </w:rPr>
        <w:t>poursuivis</w:t>
      </w:r>
      <w:r w:rsidR="00164904">
        <w:rPr>
          <w:lang w:val="fr-FR"/>
        </w:rPr>
        <w:t>, et que</w:t>
      </w:r>
      <w:r w:rsidR="00075733">
        <w:rPr>
          <w:lang w:val="fr-FR"/>
        </w:rPr>
        <w:t xml:space="preserve">, </w:t>
      </w:r>
      <w:r w:rsidR="008D1791">
        <w:rPr>
          <w:lang w:val="fr-FR"/>
        </w:rPr>
        <w:t>pour</w:t>
      </w:r>
      <w:r w:rsidR="00075733">
        <w:rPr>
          <w:lang w:val="fr-FR"/>
        </w:rPr>
        <w:t xml:space="preserve"> les délits qui </w:t>
      </w:r>
      <w:r w:rsidR="008D1791">
        <w:rPr>
          <w:lang w:val="fr-FR"/>
        </w:rPr>
        <w:t>n</w:t>
      </w:r>
      <w:r w:rsidR="00603708">
        <w:rPr>
          <w:lang w:val="fr-FR"/>
        </w:rPr>
        <w:t>’</w:t>
      </w:r>
      <w:r w:rsidR="008D1791">
        <w:rPr>
          <w:lang w:val="fr-FR"/>
        </w:rPr>
        <w:t xml:space="preserve">avaient </w:t>
      </w:r>
      <w:r w:rsidR="00075733">
        <w:rPr>
          <w:lang w:val="fr-FR"/>
        </w:rPr>
        <w:t xml:space="preserve">pas </w:t>
      </w:r>
      <w:r w:rsidR="008D1791">
        <w:rPr>
          <w:lang w:val="fr-FR"/>
        </w:rPr>
        <w:t>été</w:t>
      </w:r>
      <w:r w:rsidR="00075733">
        <w:rPr>
          <w:lang w:val="fr-FR"/>
        </w:rPr>
        <w:t xml:space="preserve"> prescri</w:t>
      </w:r>
      <w:r w:rsidR="008D1791">
        <w:rPr>
          <w:lang w:val="fr-FR"/>
        </w:rPr>
        <w:t>ts</w:t>
      </w:r>
      <w:r w:rsidR="00075733">
        <w:rPr>
          <w:lang w:val="fr-FR"/>
        </w:rPr>
        <w:t xml:space="preserve">, </w:t>
      </w:r>
      <w:r w:rsidR="00C35191">
        <w:rPr>
          <w:lang w:val="fr-FR"/>
        </w:rPr>
        <w:t xml:space="preserve">il avait fait application, en faveur des intéressés, </w:t>
      </w:r>
      <w:r w:rsidR="00D6242F">
        <w:rPr>
          <w:lang w:val="fr-FR"/>
        </w:rPr>
        <w:t xml:space="preserve">de la </w:t>
      </w:r>
      <w:r w:rsidR="008D1791">
        <w:rPr>
          <w:lang w:val="fr-FR"/>
        </w:rPr>
        <w:t>réduction de</w:t>
      </w:r>
      <w:r w:rsidR="00D6242F">
        <w:rPr>
          <w:lang w:val="fr-FR"/>
        </w:rPr>
        <w:t xml:space="preserve"> peine prévue par la loi n</w:t>
      </w:r>
      <w:r w:rsidR="0032468C" w:rsidRPr="0032468C">
        <w:rPr>
          <w:vertAlign w:val="superscript"/>
          <w:lang w:val="fr-FR"/>
        </w:rPr>
        <w:t>o</w:t>
      </w:r>
      <w:r w:rsidR="00D6242F">
        <w:rPr>
          <w:lang w:val="fr-FR"/>
        </w:rPr>
        <w:t xml:space="preserve"> 241 d</w:t>
      </w:r>
      <w:r w:rsidR="00944BE0">
        <w:rPr>
          <w:lang w:val="fr-FR"/>
        </w:rPr>
        <w:t>e</w:t>
      </w:r>
      <w:r w:rsidR="00D6242F">
        <w:rPr>
          <w:lang w:val="fr-FR"/>
        </w:rPr>
        <w:t xml:space="preserve"> </w:t>
      </w:r>
      <w:r w:rsidR="00D6242F" w:rsidRPr="008D1791">
        <w:rPr>
          <w:lang w:val="fr-FR"/>
        </w:rPr>
        <w:t>2006</w:t>
      </w:r>
      <w:r w:rsidRPr="008D1791">
        <w:rPr>
          <w:lang w:val="fr-FR"/>
        </w:rPr>
        <w:t>. Dès lors, le caractère inadéquat de l</w:t>
      </w:r>
      <w:r w:rsidR="00603708">
        <w:rPr>
          <w:lang w:val="fr-FR"/>
        </w:rPr>
        <w:t>’</w:t>
      </w:r>
      <w:r w:rsidRPr="008D1791">
        <w:rPr>
          <w:lang w:val="fr-FR"/>
        </w:rPr>
        <w:t xml:space="preserve">enquête </w:t>
      </w:r>
      <w:r w:rsidR="00944BE0" w:rsidRPr="008D1791">
        <w:rPr>
          <w:lang w:val="fr-FR"/>
        </w:rPr>
        <w:t>à l</w:t>
      </w:r>
      <w:r w:rsidR="00603708">
        <w:rPr>
          <w:lang w:val="fr-FR"/>
        </w:rPr>
        <w:t>’</w:t>
      </w:r>
      <w:r w:rsidR="00944BE0" w:rsidRPr="008D1791">
        <w:rPr>
          <w:lang w:val="fr-FR"/>
        </w:rPr>
        <w:t>aune</w:t>
      </w:r>
      <w:r w:rsidR="00944BE0">
        <w:rPr>
          <w:lang w:val="fr-FR"/>
        </w:rPr>
        <w:t xml:space="preserve"> </w:t>
      </w:r>
      <w:r>
        <w:rPr>
          <w:lang w:val="fr-FR"/>
        </w:rPr>
        <w:t>de l</w:t>
      </w:r>
      <w:r w:rsidR="00603708">
        <w:rPr>
          <w:lang w:val="fr-FR"/>
        </w:rPr>
        <w:t>’</w:t>
      </w:r>
      <w:r>
        <w:rPr>
          <w:lang w:val="fr-FR"/>
        </w:rPr>
        <w:t xml:space="preserve">article 3 de la Convention </w:t>
      </w:r>
      <w:r w:rsidR="0036293D">
        <w:rPr>
          <w:lang w:val="fr-FR"/>
        </w:rPr>
        <w:t>ayant, selon lui,</w:t>
      </w:r>
      <w:r w:rsidR="00B66E64">
        <w:rPr>
          <w:lang w:val="fr-FR"/>
        </w:rPr>
        <w:t xml:space="preserve"> déjà été mis en évidence par</w:t>
      </w:r>
      <w:r>
        <w:rPr>
          <w:lang w:val="fr-FR"/>
        </w:rPr>
        <w:t xml:space="preserve"> l</w:t>
      </w:r>
      <w:r w:rsidR="00603708">
        <w:rPr>
          <w:lang w:val="fr-FR"/>
        </w:rPr>
        <w:t>’</w:t>
      </w:r>
      <w:r>
        <w:rPr>
          <w:lang w:val="fr-FR"/>
        </w:rPr>
        <w:t>arrêt d</w:t>
      </w:r>
      <w:r w:rsidR="00603708">
        <w:rPr>
          <w:lang w:val="fr-FR"/>
        </w:rPr>
        <w:t>’</w:t>
      </w:r>
      <w:r>
        <w:rPr>
          <w:lang w:val="fr-FR"/>
        </w:rPr>
        <w:t xml:space="preserve">appel, </w:t>
      </w:r>
      <w:r w:rsidR="00273820">
        <w:rPr>
          <w:lang w:val="fr-FR"/>
        </w:rPr>
        <w:t xml:space="preserve">le requérant </w:t>
      </w:r>
      <w:r w:rsidR="008616A5">
        <w:rPr>
          <w:lang w:val="fr-FR"/>
        </w:rPr>
        <w:t>estime qu</w:t>
      </w:r>
      <w:r w:rsidR="00603708">
        <w:rPr>
          <w:lang w:val="fr-FR"/>
        </w:rPr>
        <w:t>’</w:t>
      </w:r>
      <w:r w:rsidR="008616A5">
        <w:rPr>
          <w:lang w:val="fr-FR"/>
        </w:rPr>
        <w:t>il n</w:t>
      </w:r>
      <w:r w:rsidR="00603708">
        <w:rPr>
          <w:lang w:val="fr-FR"/>
        </w:rPr>
        <w:t>’</w:t>
      </w:r>
      <w:r w:rsidR="008616A5">
        <w:rPr>
          <w:lang w:val="fr-FR"/>
        </w:rPr>
        <w:t xml:space="preserve">était </w:t>
      </w:r>
      <w:r>
        <w:rPr>
          <w:lang w:val="fr-FR"/>
        </w:rPr>
        <w:t xml:space="preserve">pas </w:t>
      </w:r>
      <w:r w:rsidR="00A04B80">
        <w:rPr>
          <w:lang w:val="fr-FR"/>
        </w:rPr>
        <w:t>tenu d</w:t>
      </w:r>
      <w:r w:rsidR="00603708">
        <w:rPr>
          <w:lang w:val="fr-FR"/>
        </w:rPr>
        <w:t>’</w:t>
      </w:r>
      <w:r>
        <w:rPr>
          <w:lang w:val="fr-FR"/>
        </w:rPr>
        <w:t>attendre l</w:t>
      </w:r>
      <w:r w:rsidR="00603708">
        <w:rPr>
          <w:lang w:val="fr-FR"/>
        </w:rPr>
        <w:t>’</w:t>
      </w:r>
      <w:r>
        <w:rPr>
          <w:lang w:val="fr-FR"/>
        </w:rPr>
        <w:t xml:space="preserve">arrêt de la Cour de cassation </w:t>
      </w:r>
      <w:r w:rsidR="0036293D">
        <w:rPr>
          <w:lang w:val="fr-FR"/>
        </w:rPr>
        <w:t>pour</w:t>
      </w:r>
      <w:r>
        <w:rPr>
          <w:lang w:val="fr-FR"/>
        </w:rPr>
        <w:t xml:space="preserve"> saisir la Cour.</w:t>
      </w:r>
    </w:p>
    <w:p w:rsidR="00D9009A" w:rsidRPr="00A76DCF" w:rsidRDefault="00406B66" w:rsidP="00D9009A">
      <w:pPr>
        <w:pStyle w:val="ECHRHeading4"/>
        <w:rPr>
          <w:lang w:val="fr-FR"/>
        </w:rPr>
      </w:pPr>
      <w:r>
        <w:rPr>
          <w:lang w:val="fr-FR"/>
        </w:rPr>
        <w:t>b</w:t>
      </w:r>
      <w:r w:rsidR="00D9009A">
        <w:rPr>
          <w:lang w:val="fr-FR"/>
        </w:rPr>
        <w:t>)</w:t>
      </w:r>
      <w:r w:rsidR="008616A5">
        <w:rPr>
          <w:lang w:val="fr-FR"/>
        </w:rPr>
        <w:t>  </w:t>
      </w:r>
      <w:r w:rsidR="00D9009A">
        <w:rPr>
          <w:lang w:val="fr-FR"/>
        </w:rPr>
        <w:t>Appréciation de la Cour</w:t>
      </w:r>
    </w:p>
    <w:p w:rsidR="0032468C" w:rsidRPr="008D3288" w:rsidRDefault="00AE3A52" w:rsidP="00751D53">
      <w:pPr>
        <w:pStyle w:val="ECHRPara"/>
        <w:rPr>
          <w:rStyle w:val="sb8d990e2"/>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145</w:t>
      </w:r>
      <w:r>
        <w:rPr>
          <w:lang w:val="fr-FR"/>
        </w:rPr>
        <w:fldChar w:fldCharType="end"/>
      </w:r>
      <w:r>
        <w:rPr>
          <w:lang w:val="fr-FR"/>
        </w:rPr>
        <w:t>.  </w:t>
      </w:r>
      <w:r w:rsidR="00E043EB">
        <w:rPr>
          <w:lang w:val="fr-FR"/>
        </w:rPr>
        <w:t>En ce qui concerne le premier volet de l</w:t>
      </w:r>
      <w:r w:rsidR="00603708">
        <w:rPr>
          <w:lang w:val="fr-FR"/>
        </w:rPr>
        <w:t>’</w:t>
      </w:r>
      <w:r w:rsidR="00E043EB">
        <w:rPr>
          <w:lang w:val="fr-FR"/>
        </w:rPr>
        <w:t>exception du Gouvernement, l</w:t>
      </w:r>
      <w:r w:rsidR="00751D53">
        <w:rPr>
          <w:rStyle w:val="sb8d990e2"/>
          <w:lang w:val="fr-FR"/>
        </w:rPr>
        <w:t>a Cour a</w:t>
      </w:r>
      <w:r w:rsidR="00FF3055">
        <w:rPr>
          <w:rStyle w:val="sb8d990e2"/>
          <w:lang w:val="fr-FR"/>
        </w:rPr>
        <w:t xml:space="preserve"> déjà </w:t>
      </w:r>
      <w:r w:rsidR="008616A5">
        <w:rPr>
          <w:rStyle w:val="sb8d990e2"/>
          <w:lang w:val="fr-FR"/>
        </w:rPr>
        <w:t>jugé</w:t>
      </w:r>
      <w:r w:rsidR="009B7B06">
        <w:rPr>
          <w:rStyle w:val="sb8d990e2"/>
          <w:lang w:val="fr-FR"/>
        </w:rPr>
        <w:t xml:space="preserve">, </w:t>
      </w:r>
      <w:r w:rsidR="00FF3055">
        <w:rPr>
          <w:rStyle w:val="sb8d990e2"/>
          <w:lang w:val="fr-FR"/>
        </w:rPr>
        <w:t xml:space="preserve">dans certaines affaires </w:t>
      </w:r>
      <w:r w:rsidR="009B7B06">
        <w:rPr>
          <w:rStyle w:val="sb8d990e2"/>
          <w:lang w:val="fr-FR"/>
        </w:rPr>
        <w:t xml:space="preserve">introduites avant la fin de la procédure pénale </w:t>
      </w:r>
      <w:r w:rsidR="00A56950">
        <w:rPr>
          <w:rStyle w:val="sb8d990e2"/>
          <w:lang w:val="fr-FR"/>
        </w:rPr>
        <w:t>concernant</w:t>
      </w:r>
      <w:r w:rsidR="00FA4CD7" w:rsidRPr="00A56950">
        <w:rPr>
          <w:rStyle w:val="sb8d990e2"/>
          <w:lang w:val="fr-FR"/>
        </w:rPr>
        <w:t xml:space="preserve"> </w:t>
      </w:r>
      <w:r w:rsidR="009B7B06" w:rsidRPr="00A56950">
        <w:rPr>
          <w:rStyle w:val="sb8d990e2"/>
          <w:lang w:val="fr-FR"/>
        </w:rPr>
        <w:t xml:space="preserve">des mauvais traitements </w:t>
      </w:r>
      <w:r w:rsidR="00751D53" w:rsidRPr="00A56950">
        <w:rPr>
          <w:rStyle w:val="sb8d990e2"/>
          <w:lang w:val="fr-FR"/>
        </w:rPr>
        <w:t>aux termes de l</w:t>
      </w:r>
      <w:r w:rsidR="00603708">
        <w:rPr>
          <w:rStyle w:val="sb8d990e2"/>
          <w:lang w:val="fr-FR"/>
        </w:rPr>
        <w:t>’</w:t>
      </w:r>
      <w:r w:rsidR="00751D53" w:rsidRPr="00A56950">
        <w:rPr>
          <w:rStyle w:val="sb8d990e2"/>
          <w:lang w:val="fr-FR"/>
        </w:rPr>
        <w:t>article 3</w:t>
      </w:r>
      <w:r w:rsidR="009B7B06">
        <w:rPr>
          <w:rStyle w:val="sb8d990e2"/>
          <w:lang w:val="fr-FR"/>
        </w:rPr>
        <w:t>,</w:t>
      </w:r>
      <w:r w:rsidR="00FF3055">
        <w:rPr>
          <w:rStyle w:val="sb8d990e2"/>
          <w:lang w:val="fr-FR"/>
        </w:rPr>
        <w:t xml:space="preserve"> </w:t>
      </w:r>
      <w:r w:rsidR="009B7B06">
        <w:rPr>
          <w:rStyle w:val="sb8d990e2"/>
          <w:lang w:val="fr-FR"/>
        </w:rPr>
        <w:t>que</w:t>
      </w:r>
      <w:r w:rsidR="00FF3055">
        <w:rPr>
          <w:rStyle w:val="sb8d990e2"/>
          <w:lang w:val="fr-FR"/>
        </w:rPr>
        <w:t xml:space="preserve"> l</w:t>
      </w:r>
      <w:r w:rsidR="00603708">
        <w:rPr>
          <w:rStyle w:val="sb8d990e2"/>
          <w:lang w:val="fr-FR"/>
        </w:rPr>
        <w:t>’</w:t>
      </w:r>
      <w:r w:rsidR="00FF3055">
        <w:rPr>
          <w:rStyle w:val="sb8d990e2"/>
          <w:lang w:val="fr-FR"/>
        </w:rPr>
        <w:t>exception d</w:t>
      </w:r>
      <w:r w:rsidR="009B7B06">
        <w:rPr>
          <w:rStyle w:val="sb8d990e2"/>
          <w:lang w:val="fr-FR"/>
        </w:rPr>
        <w:t>u</w:t>
      </w:r>
      <w:r w:rsidR="00FF3055">
        <w:rPr>
          <w:rStyle w:val="sb8d990e2"/>
          <w:lang w:val="fr-FR"/>
        </w:rPr>
        <w:t xml:space="preserve"> Gouvernement défendeur</w:t>
      </w:r>
      <w:r w:rsidR="009B7B06">
        <w:rPr>
          <w:rStyle w:val="sb8d990e2"/>
          <w:lang w:val="fr-FR"/>
        </w:rPr>
        <w:t xml:space="preserve"> tirée du caractère </w:t>
      </w:r>
      <w:r w:rsidR="009B7B06" w:rsidRPr="008D3288">
        <w:rPr>
          <w:rStyle w:val="sb8d990e2"/>
          <w:lang w:val="fr-FR"/>
        </w:rPr>
        <w:t xml:space="preserve">prématuré de la requête </w:t>
      </w:r>
      <w:r w:rsidR="00FF3055" w:rsidRPr="008D3288">
        <w:rPr>
          <w:rStyle w:val="sb8d990e2"/>
          <w:lang w:val="fr-FR"/>
        </w:rPr>
        <w:t>avait perdu sa raison d</w:t>
      </w:r>
      <w:r w:rsidR="00603708">
        <w:rPr>
          <w:rStyle w:val="sb8d990e2"/>
          <w:lang w:val="fr-FR"/>
        </w:rPr>
        <w:t>’</w:t>
      </w:r>
      <w:r w:rsidR="00FF3055" w:rsidRPr="008D3288">
        <w:rPr>
          <w:rStyle w:val="sb8d990e2"/>
          <w:lang w:val="fr-FR"/>
        </w:rPr>
        <w:t>être</w:t>
      </w:r>
      <w:r w:rsidR="009B7B06" w:rsidRPr="008D3288">
        <w:rPr>
          <w:rStyle w:val="sb8d990e2"/>
          <w:lang w:val="fr-FR"/>
        </w:rPr>
        <w:t xml:space="preserve"> une fois la procédure pénale en question achevée</w:t>
      </w:r>
      <w:r w:rsidR="00FF3055" w:rsidRPr="008D3288">
        <w:rPr>
          <w:rStyle w:val="sb8d990e2"/>
          <w:lang w:val="fr-FR"/>
        </w:rPr>
        <w:t xml:space="preserve"> </w:t>
      </w:r>
      <w:r w:rsidR="00751D53" w:rsidRPr="008D3288">
        <w:rPr>
          <w:rStyle w:val="sb8d990e2"/>
          <w:lang w:val="fr-FR"/>
        </w:rPr>
        <w:t>(</w:t>
      </w:r>
      <w:r w:rsidR="00751D53" w:rsidRPr="008D3288">
        <w:rPr>
          <w:i/>
          <w:lang w:val="fr-FR"/>
        </w:rPr>
        <w:t>Kopylov</w:t>
      </w:r>
      <w:r w:rsidR="00751D53" w:rsidRPr="008D3288">
        <w:rPr>
          <w:lang w:val="fr-FR"/>
        </w:rPr>
        <w:t>,</w:t>
      </w:r>
      <w:r w:rsidR="00751D53" w:rsidRPr="008D3288">
        <w:rPr>
          <w:i/>
          <w:lang w:val="fr-FR"/>
        </w:rPr>
        <w:t xml:space="preserve"> </w:t>
      </w:r>
      <w:r w:rsidR="00751D53" w:rsidRPr="008D3288">
        <w:rPr>
          <w:lang w:val="fr-FR"/>
        </w:rPr>
        <w:t>précité</w:t>
      </w:r>
      <w:r w:rsidR="00751D53" w:rsidRPr="008D3288">
        <w:rPr>
          <w:snapToGrid w:val="0"/>
          <w:szCs w:val="24"/>
          <w:lang w:val="fr-FR"/>
        </w:rPr>
        <w:t>, § 119, s</w:t>
      </w:r>
      <w:r w:rsidR="00603708">
        <w:rPr>
          <w:snapToGrid w:val="0"/>
          <w:szCs w:val="24"/>
          <w:lang w:val="fr-FR"/>
        </w:rPr>
        <w:t>’</w:t>
      </w:r>
      <w:r w:rsidR="00751D53" w:rsidRPr="008D3288">
        <w:rPr>
          <w:snapToGrid w:val="0"/>
          <w:szCs w:val="24"/>
          <w:lang w:val="fr-FR"/>
        </w:rPr>
        <w:t xml:space="preserve">appuyant sur </w:t>
      </w:r>
      <w:r w:rsidR="00751D53" w:rsidRPr="008D3288">
        <w:rPr>
          <w:rStyle w:val="s6b621b36"/>
          <w:i/>
          <w:lang w:val="fr-FR"/>
        </w:rPr>
        <w:t>Samoylov c. Russie</w:t>
      </w:r>
      <w:r w:rsidR="00751D53" w:rsidRPr="008D3288">
        <w:rPr>
          <w:rStyle w:val="sb8d990e2"/>
          <w:lang w:val="fr-FR"/>
        </w:rPr>
        <w:t>, n</w:t>
      </w:r>
      <w:r w:rsidR="00751D53" w:rsidRPr="008D3288">
        <w:rPr>
          <w:rStyle w:val="sb8d990e2"/>
          <w:vertAlign w:val="superscript"/>
          <w:lang w:val="fr-FR"/>
        </w:rPr>
        <w:t>o</w:t>
      </w:r>
      <w:r w:rsidR="00751D53" w:rsidRPr="008D3288">
        <w:rPr>
          <w:rStyle w:val="sb8d990e2"/>
          <w:lang w:val="fr-FR"/>
        </w:rPr>
        <w:t xml:space="preserve"> 64398/01, § 39, 2 octobre 2008).</w:t>
      </w:r>
    </w:p>
    <w:p w:rsidR="00E043EB" w:rsidRPr="009736CB" w:rsidRDefault="00751D53" w:rsidP="009736CB">
      <w:pPr>
        <w:pStyle w:val="ECHRPara"/>
        <w:rPr>
          <w:lang w:val="fr-FR"/>
        </w:rPr>
      </w:pPr>
      <w:r w:rsidRPr="008D3288">
        <w:rPr>
          <w:rStyle w:val="sb8d990e2"/>
          <w:lang w:val="fr-FR"/>
        </w:rPr>
        <w:fldChar w:fldCharType="begin"/>
      </w:r>
      <w:r w:rsidRPr="008D3288">
        <w:rPr>
          <w:rStyle w:val="sb8d990e2"/>
          <w:lang w:val="fr-FR"/>
        </w:rPr>
        <w:instrText xml:space="preserve"> SEQ level0 \*arabic </w:instrText>
      </w:r>
      <w:r w:rsidRPr="008D3288">
        <w:rPr>
          <w:rStyle w:val="sb8d990e2"/>
          <w:lang w:val="fr-FR"/>
        </w:rPr>
        <w:fldChar w:fldCharType="separate"/>
      </w:r>
      <w:r w:rsidR="00B378F9">
        <w:rPr>
          <w:rStyle w:val="sb8d990e2"/>
          <w:noProof/>
          <w:lang w:val="fr-FR"/>
        </w:rPr>
        <w:t>146</w:t>
      </w:r>
      <w:r w:rsidRPr="008D3288">
        <w:rPr>
          <w:rStyle w:val="sb8d990e2"/>
          <w:lang w:val="fr-FR"/>
        </w:rPr>
        <w:fldChar w:fldCharType="end"/>
      </w:r>
      <w:r w:rsidRPr="008D3288">
        <w:rPr>
          <w:rStyle w:val="sb8d990e2"/>
          <w:lang w:val="fr-FR"/>
        </w:rPr>
        <w:t>.  </w:t>
      </w:r>
      <w:r w:rsidR="009736CB" w:rsidRPr="008D3288">
        <w:rPr>
          <w:rStyle w:val="sb8d990e2"/>
          <w:lang w:val="fr-FR"/>
        </w:rPr>
        <w:t>En outre, si, en principe, le requérant a l</w:t>
      </w:r>
      <w:r w:rsidR="00603708">
        <w:rPr>
          <w:rStyle w:val="sb8d990e2"/>
          <w:lang w:val="fr-FR"/>
        </w:rPr>
        <w:t>’</w:t>
      </w:r>
      <w:r w:rsidR="009736CB" w:rsidRPr="008D3288">
        <w:rPr>
          <w:rStyle w:val="sb8d990e2"/>
          <w:lang w:val="fr-FR"/>
        </w:rPr>
        <w:t xml:space="preserve">obligation de tenter loyalement divers recours internes avant de saisir la Cour et </w:t>
      </w:r>
      <w:r w:rsidR="00AA3BA8" w:rsidRPr="008D3288">
        <w:rPr>
          <w:rStyle w:val="sb8d990e2"/>
          <w:lang w:val="fr-FR"/>
        </w:rPr>
        <w:t xml:space="preserve">si </w:t>
      </w:r>
      <w:r w:rsidR="009736CB" w:rsidRPr="008D3288">
        <w:rPr>
          <w:rStyle w:val="sb8d990e2"/>
          <w:lang w:val="fr-FR"/>
        </w:rPr>
        <w:t>le respect de</w:t>
      </w:r>
      <w:r w:rsidR="009736CB">
        <w:rPr>
          <w:rStyle w:val="sb8d990e2"/>
          <w:lang w:val="fr-FR"/>
        </w:rPr>
        <w:t xml:space="preserve"> cette obligation</w:t>
      </w:r>
      <w:r w:rsidR="009736CB" w:rsidRPr="009736CB">
        <w:rPr>
          <w:sz w:val="23"/>
          <w:szCs w:val="23"/>
          <w:lang w:val="fr-FR"/>
        </w:rPr>
        <w:t xml:space="preserve"> s</w:t>
      </w:r>
      <w:r w:rsidR="00603708">
        <w:rPr>
          <w:sz w:val="23"/>
          <w:szCs w:val="23"/>
          <w:lang w:val="fr-FR"/>
        </w:rPr>
        <w:t>’</w:t>
      </w:r>
      <w:r w:rsidR="009736CB" w:rsidRPr="009736CB">
        <w:rPr>
          <w:sz w:val="23"/>
          <w:szCs w:val="23"/>
          <w:lang w:val="fr-FR"/>
        </w:rPr>
        <w:t>apprécie à la date d</w:t>
      </w:r>
      <w:r w:rsidR="00603708">
        <w:rPr>
          <w:sz w:val="23"/>
          <w:szCs w:val="23"/>
          <w:lang w:val="fr-FR"/>
        </w:rPr>
        <w:t>’</w:t>
      </w:r>
      <w:r w:rsidR="009736CB" w:rsidRPr="009736CB">
        <w:rPr>
          <w:sz w:val="23"/>
          <w:szCs w:val="23"/>
          <w:lang w:val="fr-FR"/>
        </w:rPr>
        <w:t>introduction de la requête (</w:t>
      </w:r>
      <w:r w:rsidR="009736CB" w:rsidRPr="00AC0DAF">
        <w:rPr>
          <w:i/>
          <w:lang w:val="fr-FR"/>
        </w:rPr>
        <w:t>Baumann c</w:t>
      </w:r>
      <w:r w:rsidR="00AA3BA8" w:rsidRPr="00AC0DAF">
        <w:rPr>
          <w:i/>
          <w:lang w:val="fr-FR"/>
        </w:rPr>
        <w:t>.</w:t>
      </w:r>
      <w:r w:rsidR="00AA3BA8">
        <w:rPr>
          <w:i/>
          <w:lang w:val="fr-FR"/>
        </w:rPr>
        <w:t> </w:t>
      </w:r>
      <w:r w:rsidR="009736CB" w:rsidRPr="00AC0DAF">
        <w:rPr>
          <w:i/>
          <w:lang w:val="fr-FR"/>
        </w:rPr>
        <w:t>France</w:t>
      </w:r>
      <w:r w:rsidR="009736CB" w:rsidRPr="00AC0DAF">
        <w:rPr>
          <w:lang w:val="fr-FR"/>
        </w:rPr>
        <w:t>, n</w:t>
      </w:r>
      <w:r w:rsidR="009736CB" w:rsidRPr="00AC0DAF">
        <w:rPr>
          <w:vertAlign w:val="superscript"/>
          <w:lang w:val="fr-FR"/>
        </w:rPr>
        <w:t>o</w:t>
      </w:r>
      <w:r w:rsidR="009736CB" w:rsidRPr="00AC0DAF">
        <w:rPr>
          <w:lang w:val="fr-FR"/>
        </w:rPr>
        <w:t xml:space="preserve"> 33592/96, § 47, CEDH 2001</w:t>
      </w:r>
      <w:r w:rsidR="009736CB" w:rsidRPr="00AC0DAF">
        <w:rPr>
          <w:lang w:val="fr-FR"/>
        </w:rPr>
        <w:noBreakHyphen/>
        <w:t>V</w:t>
      </w:r>
      <w:r w:rsidR="009736CB">
        <w:rPr>
          <w:lang w:val="fr-FR"/>
        </w:rPr>
        <w:t xml:space="preserve">), </w:t>
      </w:r>
      <w:r w:rsidR="009736CB">
        <w:rPr>
          <w:rStyle w:val="sb8d990e2"/>
          <w:lang w:val="fr-FR"/>
        </w:rPr>
        <w:t>la Cour tolère</w:t>
      </w:r>
      <w:r>
        <w:rPr>
          <w:rStyle w:val="sb8d990e2"/>
          <w:lang w:val="fr-FR"/>
        </w:rPr>
        <w:t xml:space="preserve"> </w:t>
      </w:r>
      <w:r w:rsidR="00A04F53" w:rsidRPr="00A04F53">
        <w:rPr>
          <w:rStyle w:val="sb8d990e2"/>
          <w:lang w:val="fr-FR"/>
        </w:rPr>
        <w:t xml:space="preserve">que le dernier échelon de ces recours soit atteint </w:t>
      </w:r>
      <w:r w:rsidR="00513DA7">
        <w:rPr>
          <w:rStyle w:val="sb8d990e2"/>
          <w:lang w:val="fr-FR"/>
        </w:rPr>
        <w:t xml:space="preserve">peu </w:t>
      </w:r>
      <w:r w:rsidR="00A04F53" w:rsidRPr="00A04F53">
        <w:rPr>
          <w:rStyle w:val="sb8d990e2"/>
          <w:lang w:val="fr-FR"/>
        </w:rPr>
        <w:t>après le dépôt de la requête, mais avant qu</w:t>
      </w:r>
      <w:r w:rsidR="00603708">
        <w:rPr>
          <w:rStyle w:val="sb8d990e2"/>
          <w:lang w:val="fr-FR"/>
        </w:rPr>
        <w:t>’</w:t>
      </w:r>
      <w:r w:rsidR="00A04F53" w:rsidRPr="00A04F53">
        <w:rPr>
          <w:rStyle w:val="sb8d990e2"/>
          <w:lang w:val="fr-FR"/>
        </w:rPr>
        <w:t xml:space="preserve">elle ne soit appelée à se prononcer sur la recevabilité </w:t>
      </w:r>
      <w:r w:rsidR="00513DA7">
        <w:rPr>
          <w:rStyle w:val="sb8d990e2"/>
          <w:lang w:val="fr-FR"/>
        </w:rPr>
        <w:t xml:space="preserve">de celle-ci </w:t>
      </w:r>
      <w:r w:rsidR="00A04F53" w:rsidRPr="00A04F53">
        <w:rPr>
          <w:rStyle w:val="sb8d990e2"/>
          <w:lang w:val="fr-FR"/>
        </w:rPr>
        <w:t>(</w:t>
      </w:r>
      <w:r w:rsidR="00A04F53" w:rsidRPr="00AC0DAF">
        <w:rPr>
          <w:rStyle w:val="s6b621b36"/>
          <w:i/>
          <w:lang w:val="fr-FR"/>
        </w:rPr>
        <w:t>Ringeisen c</w:t>
      </w:r>
      <w:r w:rsidR="00AA3BA8" w:rsidRPr="00AC0DAF">
        <w:rPr>
          <w:rStyle w:val="s6b621b36"/>
          <w:i/>
          <w:lang w:val="fr-FR"/>
        </w:rPr>
        <w:t>.</w:t>
      </w:r>
      <w:r w:rsidR="00AA3BA8">
        <w:rPr>
          <w:rStyle w:val="s6b621b36"/>
          <w:i/>
          <w:lang w:val="fr-FR"/>
        </w:rPr>
        <w:t> </w:t>
      </w:r>
      <w:r w:rsidR="00A04F53" w:rsidRPr="00AC0DAF">
        <w:rPr>
          <w:rStyle w:val="s6b621b36"/>
          <w:i/>
          <w:lang w:val="fr-FR"/>
        </w:rPr>
        <w:t>Autriche</w:t>
      </w:r>
      <w:r w:rsidR="00A04F53" w:rsidRPr="00AC0DAF">
        <w:rPr>
          <w:rStyle w:val="sb8d990e2"/>
          <w:lang w:val="fr-FR"/>
        </w:rPr>
        <w:t>, 16 juillet 1971, § 91, série A n</w:t>
      </w:r>
      <w:r w:rsidR="00A04F53" w:rsidRPr="00AC0DAF">
        <w:rPr>
          <w:rStyle w:val="sea881cdf"/>
          <w:vertAlign w:val="superscript"/>
          <w:lang w:val="fr-FR"/>
        </w:rPr>
        <w:t>o</w:t>
      </w:r>
      <w:r w:rsidR="00A04F53" w:rsidRPr="00AC0DAF">
        <w:rPr>
          <w:rStyle w:val="sb8d990e2"/>
          <w:lang w:val="fr-FR"/>
        </w:rPr>
        <w:t xml:space="preserve"> 13</w:t>
      </w:r>
      <w:r w:rsidR="00AA3BA8">
        <w:rPr>
          <w:rStyle w:val="sb8d990e2"/>
          <w:lang w:val="fr-FR"/>
        </w:rPr>
        <w:t>,</w:t>
      </w:r>
      <w:r w:rsidR="00A04F53" w:rsidRPr="00AC0DAF">
        <w:rPr>
          <w:rStyle w:val="sb8d990e2"/>
          <w:lang w:val="fr-FR"/>
        </w:rPr>
        <w:t xml:space="preserve"> </w:t>
      </w:r>
      <w:r w:rsidR="00A04F53" w:rsidRPr="00AC0DAF">
        <w:rPr>
          <w:rStyle w:val="s6b621b36"/>
          <w:i/>
          <w:lang w:val="fr-FR"/>
        </w:rPr>
        <w:t>E.K. c. Turquie</w:t>
      </w:r>
      <w:r w:rsidR="00A04F53" w:rsidRPr="00AC0DAF">
        <w:rPr>
          <w:rStyle w:val="sb8d990e2"/>
          <w:lang w:val="fr-FR"/>
        </w:rPr>
        <w:t xml:space="preserve"> (déc.), </w:t>
      </w:r>
      <w:r w:rsidR="00AA3BA8" w:rsidRPr="00AC0DAF">
        <w:rPr>
          <w:rStyle w:val="sb8d990e2"/>
          <w:lang w:val="fr-FR"/>
        </w:rPr>
        <w:t>n</w:t>
      </w:r>
      <w:r w:rsidR="00AA3BA8" w:rsidRPr="00AC0DAF">
        <w:rPr>
          <w:rStyle w:val="sea881cdf"/>
          <w:vertAlign w:val="superscript"/>
          <w:lang w:val="fr-FR"/>
        </w:rPr>
        <w:t>o</w:t>
      </w:r>
      <w:r w:rsidR="00AA3BA8">
        <w:rPr>
          <w:rStyle w:val="sb8d990e2"/>
          <w:lang w:val="fr-FR"/>
        </w:rPr>
        <w:t> </w:t>
      </w:r>
      <w:r w:rsidR="00A04F53" w:rsidRPr="00AC0DAF">
        <w:rPr>
          <w:rStyle w:val="sb8d990e2"/>
          <w:lang w:val="fr-FR"/>
        </w:rPr>
        <w:t>28496/95, 28 novembre 2000</w:t>
      </w:r>
      <w:r w:rsidR="00AA3BA8">
        <w:rPr>
          <w:rStyle w:val="sb8d990e2"/>
          <w:lang w:val="fr-FR"/>
        </w:rPr>
        <w:t>,</w:t>
      </w:r>
      <w:r w:rsidR="00A04F53" w:rsidRPr="00AC0DAF">
        <w:rPr>
          <w:rStyle w:val="sb8d990e2"/>
          <w:lang w:val="fr-FR"/>
        </w:rPr>
        <w:t xml:space="preserve"> </w:t>
      </w:r>
      <w:r w:rsidR="00BC4980" w:rsidRPr="00AC0DAF">
        <w:rPr>
          <w:i/>
          <w:lang w:val="fr-FR"/>
        </w:rPr>
        <w:t>Karoussiotis c. Portugal</w:t>
      </w:r>
      <w:r w:rsidR="00BC4980" w:rsidRPr="00AC0DAF">
        <w:rPr>
          <w:lang w:val="fr-FR"/>
        </w:rPr>
        <w:t xml:space="preserve">, </w:t>
      </w:r>
      <w:r w:rsidR="00513DA7" w:rsidRPr="00AC0DAF">
        <w:rPr>
          <w:lang w:val="fr-FR"/>
        </w:rPr>
        <w:t>n</w:t>
      </w:r>
      <w:r w:rsidR="00513DA7" w:rsidRPr="00AC0DAF">
        <w:rPr>
          <w:vertAlign w:val="superscript"/>
          <w:lang w:val="fr-FR"/>
        </w:rPr>
        <w:t>o</w:t>
      </w:r>
      <w:r w:rsidR="00513DA7">
        <w:rPr>
          <w:lang w:val="fr-FR"/>
        </w:rPr>
        <w:t> </w:t>
      </w:r>
      <w:r w:rsidR="00BC4980" w:rsidRPr="00AC0DAF">
        <w:rPr>
          <w:lang w:val="fr-FR"/>
        </w:rPr>
        <w:t xml:space="preserve">23205/08, </w:t>
      </w:r>
      <w:r w:rsidR="00AA3BA8" w:rsidRPr="00AC0DAF">
        <w:rPr>
          <w:lang w:val="fr-FR"/>
        </w:rPr>
        <w:t>§§</w:t>
      </w:r>
      <w:r w:rsidR="00AA3BA8">
        <w:rPr>
          <w:lang w:val="fr-FR"/>
        </w:rPr>
        <w:t> </w:t>
      </w:r>
      <w:r w:rsidR="005D575F" w:rsidRPr="00AC0DAF">
        <w:rPr>
          <w:lang w:val="fr-FR"/>
        </w:rPr>
        <w:t>57</w:t>
      </w:r>
      <w:r w:rsidR="00C02717">
        <w:rPr>
          <w:lang w:val="fr-FR"/>
        </w:rPr>
        <w:t xml:space="preserve"> et</w:t>
      </w:r>
      <w:r w:rsidR="005D575F" w:rsidRPr="00AC0DAF">
        <w:rPr>
          <w:lang w:val="fr-FR"/>
        </w:rPr>
        <w:t xml:space="preserve"> 87-92</w:t>
      </w:r>
      <w:r w:rsidR="00BC4980" w:rsidRPr="00AC0DAF">
        <w:rPr>
          <w:lang w:val="fr-FR"/>
        </w:rPr>
        <w:t>, CEDH 2011</w:t>
      </w:r>
      <w:r w:rsidR="00AA3BA8">
        <w:rPr>
          <w:lang w:val="fr-FR"/>
        </w:rPr>
        <w:t>, et</w:t>
      </w:r>
      <w:r w:rsidR="005D575F" w:rsidRPr="00AC0DAF">
        <w:rPr>
          <w:lang w:val="fr-FR"/>
        </w:rPr>
        <w:t xml:space="preserve"> </w:t>
      </w:r>
      <w:r w:rsidR="00A04F53" w:rsidRPr="00AC0DAF">
        <w:rPr>
          <w:i/>
          <w:lang w:val="fr-FR"/>
        </w:rPr>
        <w:t>Rafaa c. France</w:t>
      </w:r>
      <w:r w:rsidR="00A04F53" w:rsidRPr="00AC0DAF">
        <w:rPr>
          <w:lang w:val="fr-FR"/>
        </w:rPr>
        <w:t>, n</w:t>
      </w:r>
      <w:r w:rsidR="00A04F53" w:rsidRPr="00AC0DAF">
        <w:rPr>
          <w:vertAlign w:val="superscript"/>
          <w:lang w:val="fr-FR"/>
        </w:rPr>
        <w:t>o</w:t>
      </w:r>
      <w:r w:rsidR="00A04F53" w:rsidRPr="00AC0DAF">
        <w:rPr>
          <w:lang w:val="fr-FR"/>
        </w:rPr>
        <w:t xml:space="preserve"> 25393/10</w:t>
      </w:r>
      <w:r w:rsidR="00A04F53" w:rsidRPr="00AC0DAF">
        <w:rPr>
          <w:snapToGrid w:val="0"/>
          <w:lang w:val="pt-BR"/>
        </w:rPr>
        <w:t>, § 33, 30 mai 2013</w:t>
      </w:r>
      <w:r w:rsidR="005D575F" w:rsidRPr="00C24C6A">
        <w:rPr>
          <w:snapToGrid w:val="0"/>
          <w:lang w:val="pt-BR"/>
        </w:rPr>
        <w:t>)</w:t>
      </w:r>
      <w:r w:rsidR="00E043EB" w:rsidRPr="00C24C6A">
        <w:rPr>
          <w:snapToGrid w:val="0"/>
          <w:lang w:val="pt-BR"/>
        </w:rPr>
        <w:t>.</w:t>
      </w:r>
    </w:p>
    <w:p w:rsidR="0032468C" w:rsidRDefault="00A731E0" w:rsidP="00A261A2">
      <w:pPr>
        <w:ind w:firstLine="232"/>
        <w:rPr>
          <w:lang w:val="fr-FR"/>
        </w:rPr>
      </w:pPr>
      <w:r>
        <w:rPr>
          <w:snapToGrid w:val="0"/>
          <w:lang w:val="pt-BR"/>
        </w:rPr>
        <w:fldChar w:fldCharType="begin"/>
      </w:r>
      <w:r>
        <w:rPr>
          <w:snapToGrid w:val="0"/>
          <w:lang w:val="pt-BR"/>
        </w:rPr>
        <w:instrText xml:space="preserve"> SEQ level0 \*arabic </w:instrText>
      </w:r>
      <w:r>
        <w:rPr>
          <w:snapToGrid w:val="0"/>
          <w:lang w:val="pt-BR"/>
        </w:rPr>
        <w:fldChar w:fldCharType="separate"/>
      </w:r>
      <w:r w:rsidR="00B378F9">
        <w:rPr>
          <w:noProof/>
          <w:snapToGrid w:val="0"/>
          <w:lang w:val="pt-BR"/>
        </w:rPr>
        <w:t>147</w:t>
      </w:r>
      <w:r>
        <w:rPr>
          <w:snapToGrid w:val="0"/>
          <w:lang w:val="pt-BR"/>
        </w:rPr>
        <w:fldChar w:fldCharType="end"/>
      </w:r>
      <w:r>
        <w:rPr>
          <w:snapToGrid w:val="0"/>
          <w:lang w:val="pt-BR"/>
        </w:rPr>
        <w:t>.  </w:t>
      </w:r>
      <w:r w:rsidR="00E043EB">
        <w:rPr>
          <w:snapToGrid w:val="0"/>
          <w:lang w:val="pt-BR"/>
        </w:rPr>
        <w:t>En l</w:t>
      </w:r>
      <w:r w:rsidR="00603708">
        <w:rPr>
          <w:snapToGrid w:val="0"/>
          <w:lang w:val="pt-BR"/>
        </w:rPr>
        <w:t>’</w:t>
      </w:r>
      <w:r w:rsidR="002A7958">
        <w:rPr>
          <w:snapToGrid w:val="0"/>
          <w:lang w:val="pt-BR"/>
        </w:rPr>
        <w:t>espèce, la Cour note qu</w:t>
      </w:r>
      <w:r w:rsidR="00C24C6A">
        <w:rPr>
          <w:snapToGrid w:val="0"/>
          <w:lang w:val="pt-BR"/>
        </w:rPr>
        <w:t xml:space="preserve">e le requérant allègue avoir </w:t>
      </w:r>
      <w:r w:rsidR="00513DA7">
        <w:rPr>
          <w:snapToGrid w:val="0"/>
          <w:lang w:val="pt-BR"/>
        </w:rPr>
        <w:t xml:space="preserve">été violemment agressé </w:t>
      </w:r>
      <w:r w:rsidR="00AA3BA8">
        <w:rPr>
          <w:snapToGrid w:val="0"/>
          <w:lang w:val="pt-BR"/>
        </w:rPr>
        <w:t>par les forces de l</w:t>
      </w:r>
      <w:r w:rsidR="00603708">
        <w:rPr>
          <w:snapToGrid w:val="0"/>
          <w:lang w:val="pt-BR"/>
        </w:rPr>
        <w:t>’</w:t>
      </w:r>
      <w:r w:rsidR="00AA3BA8">
        <w:rPr>
          <w:snapToGrid w:val="0"/>
          <w:lang w:val="pt-BR"/>
        </w:rPr>
        <w:t>ordre</w:t>
      </w:r>
      <w:r w:rsidR="002A7958">
        <w:rPr>
          <w:snapToGrid w:val="0"/>
          <w:lang w:val="pt-BR"/>
        </w:rPr>
        <w:t xml:space="preserve"> </w:t>
      </w:r>
      <w:r w:rsidR="002A7958">
        <w:rPr>
          <w:lang w:val="fr-FR"/>
        </w:rPr>
        <w:t>l</w:t>
      </w:r>
      <w:r w:rsidR="002A7958" w:rsidRPr="00B13255">
        <w:rPr>
          <w:lang w:val="fr-FR"/>
        </w:rPr>
        <w:t>ors de l</w:t>
      </w:r>
      <w:r w:rsidR="00AA3BA8">
        <w:rPr>
          <w:lang w:val="fr-FR"/>
        </w:rPr>
        <w:t xml:space="preserve">eur </w:t>
      </w:r>
      <w:r w:rsidR="002A7958" w:rsidRPr="00B13255">
        <w:rPr>
          <w:lang w:val="fr-FR"/>
        </w:rPr>
        <w:t>irruption dans</w:t>
      </w:r>
      <w:r w:rsidR="002A7958">
        <w:rPr>
          <w:lang w:val="fr-FR"/>
        </w:rPr>
        <w:t xml:space="preserve"> l</w:t>
      </w:r>
      <w:r w:rsidR="00603708">
        <w:rPr>
          <w:lang w:val="fr-FR"/>
        </w:rPr>
        <w:t>’</w:t>
      </w:r>
      <w:r w:rsidR="002A7958">
        <w:rPr>
          <w:lang w:val="fr-FR"/>
        </w:rPr>
        <w:t>école Diaz-Pertini</w:t>
      </w:r>
      <w:r w:rsidR="00AA3BA8">
        <w:rPr>
          <w:lang w:val="fr-FR"/>
        </w:rPr>
        <w:t xml:space="preserve"> </w:t>
      </w:r>
      <w:r w:rsidR="00513DA7">
        <w:rPr>
          <w:snapToGrid w:val="0"/>
          <w:lang w:val="pt-BR"/>
        </w:rPr>
        <w:t>,</w:t>
      </w:r>
      <w:r w:rsidR="00513DA7" w:rsidRPr="00AA3BA8">
        <w:rPr>
          <w:snapToGrid w:val="0"/>
          <w:lang w:val="pt-BR"/>
        </w:rPr>
        <w:t xml:space="preserve"> </w:t>
      </w:r>
      <w:r w:rsidR="00513DA7">
        <w:rPr>
          <w:snapToGrid w:val="0"/>
          <w:lang w:val="pt-BR"/>
        </w:rPr>
        <w:t xml:space="preserve">en juillet 2001 </w:t>
      </w:r>
      <w:r w:rsidR="00A261A2">
        <w:rPr>
          <w:lang w:val="fr-FR"/>
        </w:rPr>
        <w:t>(</w:t>
      </w:r>
      <w:r w:rsidR="00A261A2" w:rsidRPr="00AC0DAF">
        <w:rPr>
          <w:lang w:val="fr-FR"/>
        </w:rPr>
        <w:t>paragraphe</w:t>
      </w:r>
      <w:r w:rsidR="00DC606A" w:rsidRPr="00AC0DAF">
        <w:rPr>
          <w:lang w:val="fr-FR"/>
        </w:rPr>
        <w:t>s 34-35</w:t>
      </w:r>
      <w:r w:rsidR="00A261A2" w:rsidRPr="00AC0DAF">
        <w:rPr>
          <w:lang w:val="fr-FR"/>
        </w:rPr>
        <w:t xml:space="preserve"> ci-dessus</w:t>
      </w:r>
      <w:r w:rsidR="00A261A2">
        <w:rPr>
          <w:lang w:val="fr-FR"/>
        </w:rPr>
        <w:t>).</w:t>
      </w:r>
    </w:p>
    <w:p w:rsidR="004C0B3D" w:rsidRDefault="00D850B7" w:rsidP="00D850B7">
      <w:pPr>
        <w:ind w:firstLine="232"/>
        <w:rPr>
          <w:lang w:val="fr-FR"/>
        </w:rPr>
      </w:pPr>
      <w:r>
        <w:rPr>
          <w:lang w:val="fr-FR"/>
        </w:rPr>
        <w:t>E</w:t>
      </w:r>
      <w:r w:rsidR="00C02717">
        <w:rPr>
          <w:lang w:val="fr-FR"/>
        </w:rPr>
        <w:t>lle relève e</w:t>
      </w:r>
      <w:r>
        <w:rPr>
          <w:lang w:val="fr-FR"/>
        </w:rPr>
        <w:t>nsuite</w:t>
      </w:r>
      <w:r w:rsidR="00C02717">
        <w:rPr>
          <w:lang w:val="fr-FR"/>
        </w:rPr>
        <w:t xml:space="preserve"> que</w:t>
      </w:r>
      <w:r>
        <w:rPr>
          <w:lang w:val="fr-FR"/>
        </w:rPr>
        <w:t xml:space="preserve"> </w:t>
      </w:r>
      <w:r w:rsidR="002A7958">
        <w:rPr>
          <w:lang w:val="fr-FR"/>
        </w:rPr>
        <w:t>la procédure pénale engagée contre les forces de l</w:t>
      </w:r>
      <w:r w:rsidR="00603708">
        <w:rPr>
          <w:lang w:val="fr-FR"/>
        </w:rPr>
        <w:t>’</w:t>
      </w:r>
      <w:r w:rsidR="002A7958">
        <w:rPr>
          <w:lang w:val="fr-FR"/>
        </w:rPr>
        <w:t xml:space="preserve">ordre </w:t>
      </w:r>
      <w:r w:rsidR="00AA3BA8">
        <w:rPr>
          <w:lang w:val="fr-FR"/>
        </w:rPr>
        <w:t>relativement aux</w:t>
      </w:r>
      <w:r w:rsidR="002A7958">
        <w:rPr>
          <w:lang w:val="fr-FR"/>
        </w:rPr>
        <w:t xml:space="preserve"> </w:t>
      </w:r>
      <w:r>
        <w:rPr>
          <w:lang w:val="fr-FR"/>
        </w:rPr>
        <w:t>év</w:t>
      </w:r>
      <w:r w:rsidR="00650C81">
        <w:rPr>
          <w:lang w:val="fr-FR"/>
        </w:rPr>
        <w:t>é</w:t>
      </w:r>
      <w:r>
        <w:rPr>
          <w:lang w:val="fr-FR"/>
        </w:rPr>
        <w:t xml:space="preserve">nements </w:t>
      </w:r>
      <w:r w:rsidR="00D52A85">
        <w:rPr>
          <w:lang w:val="fr-FR"/>
        </w:rPr>
        <w:t>survenus à</w:t>
      </w:r>
      <w:r>
        <w:rPr>
          <w:lang w:val="fr-FR"/>
        </w:rPr>
        <w:t xml:space="preserve"> l</w:t>
      </w:r>
      <w:r w:rsidR="00603708">
        <w:rPr>
          <w:lang w:val="fr-FR"/>
        </w:rPr>
        <w:t>’</w:t>
      </w:r>
      <w:r>
        <w:rPr>
          <w:lang w:val="fr-FR"/>
        </w:rPr>
        <w:t xml:space="preserve">école Diaz-Pertini, </w:t>
      </w:r>
      <w:r w:rsidR="009736CB">
        <w:rPr>
          <w:lang w:val="fr-FR"/>
        </w:rPr>
        <w:t>dans</w:t>
      </w:r>
      <w:r>
        <w:rPr>
          <w:lang w:val="fr-FR"/>
        </w:rPr>
        <w:t xml:space="preserve"> laquelle le requérant </w:t>
      </w:r>
      <w:r w:rsidR="009736CB">
        <w:rPr>
          <w:lang w:val="fr-FR"/>
        </w:rPr>
        <w:t>s</w:t>
      </w:r>
      <w:r w:rsidR="00603708">
        <w:rPr>
          <w:lang w:val="fr-FR"/>
        </w:rPr>
        <w:t>’</w:t>
      </w:r>
      <w:r w:rsidR="009736CB">
        <w:rPr>
          <w:lang w:val="fr-FR"/>
        </w:rPr>
        <w:t xml:space="preserve">est constitué </w:t>
      </w:r>
      <w:r>
        <w:rPr>
          <w:lang w:val="fr-FR"/>
        </w:rPr>
        <w:t>partie civile</w:t>
      </w:r>
      <w:r w:rsidR="002709C6">
        <w:rPr>
          <w:lang w:val="fr-FR"/>
        </w:rPr>
        <w:t xml:space="preserve"> en juillet 2004 (</w:t>
      </w:r>
      <w:r w:rsidR="002709C6" w:rsidRPr="002709C6">
        <w:rPr>
          <w:lang w:val="fr-FR"/>
        </w:rPr>
        <w:t>paragraphe</w:t>
      </w:r>
      <w:r w:rsidR="00EE246F">
        <w:rPr>
          <w:lang w:val="fr-FR"/>
        </w:rPr>
        <w:t> </w:t>
      </w:r>
      <w:r w:rsidR="002709C6" w:rsidRPr="002709C6">
        <w:rPr>
          <w:lang w:val="fr-FR"/>
        </w:rPr>
        <w:t>46 ci-dessus</w:t>
      </w:r>
      <w:r w:rsidR="002709C6">
        <w:rPr>
          <w:lang w:val="fr-FR"/>
        </w:rPr>
        <w:t>)</w:t>
      </w:r>
      <w:r>
        <w:rPr>
          <w:lang w:val="fr-FR"/>
        </w:rPr>
        <w:t xml:space="preserve">, </w:t>
      </w:r>
      <w:r w:rsidR="00C24C6A">
        <w:rPr>
          <w:lang w:val="fr-FR"/>
        </w:rPr>
        <w:t>a</w:t>
      </w:r>
      <w:r>
        <w:rPr>
          <w:lang w:val="fr-FR"/>
        </w:rPr>
        <w:t xml:space="preserve"> abouti</w:t>
      </w:r>
      <w:r w:rsidR="00AA3BA8">
        <w:rPr>
          <w:lang w:val="fr-FR"/>
        </w:rPr>
        <w:t>,</w:t>
      </w:r>
      <w:r w:rsidR="007C0C92">
        <w:rPr>
          <w:lang w:val="fr-FR"/>
        </w:rPr>
        <w:t xml:space="preserve"> en </w:t>
      </w:r>
      <w:r w:rsidR="00DC606A">
        <w:rPr>
          <w:lang w:val="fr-FR"/>
        </w:rPr>
        <w:t xml:space="preserve">février </w:t>
      </w:r>
      <w:r w:rsidR="007C0C92">
        <w:rPr>
          <w:lang w:val="fr-FR"/>
        </w:rPr>
        <w:t>2009</w:t>
      </w:r>
      <w:r w:rsidR="00AA3BA8">
        <w:rPr>
          <w:lang w:val="fr-FR"/>
        </w:rPr>
        <w:t>,</w:t>
      </w:r>
      <w:r w:rsidR="007C0C92">
        <w:rPr>
          <w:lang w:val="fr-FR"/>
        </w:rPr>
        <w:t xml:space="preserve"> </w:t>
      </w:r>
      <w:r>
        <w:rPr>
          <w:lang w:val="fr-FR"/>
        </w:rPr>
        <w:t xml:space="preserve">au </w:t>
      </w:r>
      <w:r w:rsidR="00DC606A">
        <w:rPr>
          <w:lang w:val="fr-FR"/>
        </w:rPr>
        <w:t xml:space="preserve">dépôt du </w:t>
      </w:r>
      <w:r>
        <w:rPr>
          <w:lang w:val="fr-FR"/>
        </w:rPr>
        <w:t>jugement de première instance</w:t>
      </w:r>
      <w:r w:rsidR="007C0C92">
        <w:rPr>
          <w:lang w:val="fr-FR"/>
        </w:rPr>
        <w:t xml:space="preserve"> </w:t>
      </w:r>
      <w:r w:rsidR="004C0B3D">
        <w:rPr>
          <w:lang w:val="fr-FR"/>
        </w:rPr>
        <w:t>(</w:t>
      </w:r>
      <w:r w:rsidR="002709C6" w:rsidRPr="002709C6">
        <w:rPr>
          <w:lang w:val="fr-FR"/>
        </w:rPr>
        <w:t>paragraphe 49</w:t>
      </w:r>
      <w:r w:rsidR="004C0B3D" w:rsidRPr="002709C6">
        <w:rPr>
          <w:lang w:val="fr-FR"/>
        </w:rPr>
        <w:t xml:space="preserve"> ci-dessus</w:t>
      </w:r>
      <w:r w:rsidR="004C0B3D">
        <w:rPr>
          <w:lang w:val="fr-FR"/>
        </w:rPr>
        <w:t xml:space="preserve">) </w:t>
      </w:r>
      <w:r w:rsidR="007C0C92">
        <w:rPr>
          <w:lang w:val="fr-FR"/>
        </w:rPr>
        <w:t>et</w:t>
      </w:r>
      <w:r w:rsidR="00AA3BA8">
        <w:rPr>
          <w:lang w:val="fr-FR"/>
        </w:rPr>
        <w:t>,</w:t>
      </w:r>
      <w:r w:rsidR="007C0C92">
        <w:rPr>
          <w:lang w:val="fr-FR"/>
        </w:rPr>
        <w:t xml:space="preserve"> en </w:t>
      </w:r>
      <w:r w:rsidR="00DC606A">
        <w:rPr>
          <w:lang w:val="fr-FR"/>
        </w:rPr>
        <w:t>juillet 2010</w:t>
      </w:r>
      <w:r w:rsidR="00AA3BA8">
        <w:rPr>
          <w:lang w:val="fr-FR"/>
        </w:rPr>
        <w:t>,</w:t>
      </w:r>
      <w:r w:rsidR="00DC606A">
        <w:rPr>
          <w:lang w:val="fr-FR"/>
        </w:rPr>
        <w:t xml:space="preserve"> au dépôt de</w:t>
      </w:r>
      <w:r w:rsidR="007C0C92">
        <w:rPr>
          <w:lang w:val="fr-FR"/>
        </w:rPr>
        <w:t xml:space="preserve"> l</w:t>
      </w:r>
      <w:r w:rsidR="00603708">
        <w:rPr>
          <w:lang w:val="fr-FR"/>
        </w:rPr>
        <w:t>’</w:t>
      </w:r>
      <w:r w:rsidR="007C0C92">
        <w:rPr>
          <w:lang w:val="fr-FR"/>
        </w:rPr>
        <w:t>arrêt d</w:t>
      </w:r>
      <w:r w:rsidR="00603708">
        <w:rPr>
          <w:lang w:val="fr-FR"/>
        </w:rPr>
        <w:t>’</w:t>
      </w:r>
      <w:r w:rsidR="004C0B3D">
        <w:rPr>
          <w:lang w:val="fr-FR"/>
        </w:rPr>
        <w:t>appel</w:t>
      </w:r>
      <w:r w:rsidR="002709C6">
        <w:rPr>
          <w:lang w:val="fr-FR"/>
        </w:rPr>
        <w:t xml:space="preserve"> (</w:t>
      </w:r>
      <w:r w:rsidR="002709C6" w:rsidRPr="002709C6">
        <w:rPr>
          <w:lang w:val="fr-FR"/>
        </w:rPr>
        <w:t>paragraphe 59 ci-dessus</w:t>
      </w:r>
      <w:r w:rsidR="002709C6">
        <w:rPr>
          <w:lang w:val="fr-FR"/>
        </w:rPr>
        <w:t>)</w:t>
      </w:r>
      <w:r w:rsidR="004C0B3D">
        <w:rPr>
          <w:lang w:val="fr-FR"/>
        </w:rPr>
        <w:t>.</w:t>
      </w:r>
    </w:p>
    <w:p w:rsidR="0032468C" w:rsidRDefault="004C0B3D" w:rsidP="00D850B7">
      <w:pPr>
        <w:ind w:firstLine="232"/>
        <w:rPr>
          <w:rStyle w:val="JuHaChar"/>
          <w:b w:val="0"/>
          <w:sz w:val="24"/>
          <w:szCs w:val="24"/>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148</w:t>
      </w:r>
      <w:r>
        <w:rPr>
          <w:lang w:val="fr-FR"/>
        </w:rPr>
        <w:fldChar w:fldCharType="end"/>
      </w:r>
      <w:r>
        <w:rPr>
          <w:lang w:val="fr-FR"/>
        </w:rPr>
        <w:t>.  Dans ces c</w:t>
      </w:r>
      <w:r w:rsidR="00AA3BA8">
        <w:rPr>
          <w:lang w:val="fr-FR"/>
        </w:rPr>
        <w:t>irconstances</w:t>
      </w:r>
      <w:r>
        <w:rPr>
          <w:lang w:val="fr-FR"/>
        </w:rPr>
        <w:t>, la Cour ne s</w:t>
      </w:r>
      <w:r w:rsidR="00FA4CD7">
        <w:rPr>
          <w:lang w:val="fr-FR"/>
        </w:rPr>
        <w:t xml:space="preserve">aurait reprocher au requérant de lui avoir </w:t>
      </w:r>
      <w:r w:rsidR="00A731E0">
        <w:rPr>
          <w:lang w:val="fr-FR"/>
        </w:rPr>
        <w:t>adressé ses griefs portant sur la violation de l</w:t>
      </w:r>
      <w:r w:rsidR="00603708">
        <w:rPr>
          <w:lang w:val="fr-FR"/>
        </w:rPr>
        <w:t>’</w:t>
      </w:r>
      <w:r w:rsidR="00A731E0">
        <w:rPr>
          <w:lang w:val="fr-FR"/>
        </w:rPr>
        <w:t>article 3 de la Convention</w:t>
      </w:r>
      <w:r>
        <w:rPr>
          <w:lang w:val="fr-FR"/>
        </w:rPr>
        <w:t xml:space="preserve"> en janvier 2011</w:t>
      </w:r>
      <w:r w:rsidR="00F76783">
        <w:rPr>
          <w:lang w:val="fr-FR"/>
        </w:rPr>
        <w:t xml:space="preserve">, </w:t>
      </w:r>
      <w:r w:rsidR="00AA3BA8">
        <w:rPr>
          <w:lang w:val="fr-FR"/>
        </w:rPr>
        <w:t xml:space="preserve">près de </w:t>
      </w:r>
      <w:r w:rsidR="00F00C7F">
        <w:rPr>
          <w:lang w:val="fr-FR"/>
        </w:rPr>
        <w:t>dix ans après les év</w:t>
      </w:r>
      <w:r w:rsidR="00650C81">
        <w:rPr>
          <w:lang w:val="fr-FR"/>
        </w:rPr>
        <w:t>é</w:t>
      </w:r>
      <w:r w:rsidR="00F00C7F">
        <w:rPr>
          <w:lang w:val="fr-FR"/>
        </w:rPr>
        <w:t xml:space="preserve">nements </w:t>
      </w:r>
      <w:r w:rsidR="00D52A85">
        <w:rPr>
          <w:lang w:val="fr-FR"/>
        </w:rPr>
        <w:t>survenus à</w:t>
      </w:r>
      <w:r w:rsidR="00F00C7F">
        <w:rPr>
          <w:lang w:val="fr-FR"/>
        </w:rPr>
        <w:t xml:space="preserve"> l</w:t>
      </w:r>
      <w:r w:rsidR="00603708">
        <w:rPr>
          <w:lang w:val="fr-FR"/>
        </w:rPr>
        <w:t>’</w:t>
      </w:r>
      <w:r w:rsidR="00F00C7F">
        <w:rPr>
          <w:lang w:val="fr-FR"/>
        </w:rPr>
        <w:t>école Diaz-Pertini</w:t>
      </w:r>
      <w:r w:rsidR="00022EC5">
        <w:rPr>
          <w:lang w:val="fr-FR"/>
        </w:rPr>
        <w:t xml:space="preserve">, </w:t>
      </w:r>
      <w:r w:rsidR="00A731E0">
        <w:rPr>
          <w:lang w:val="fr-FR"/>
        </w:rPr>
        <w:t xml:space="preserve">sans </w:t>
      </w:r>
      <w:r>
        <w:rPr>
          <w:lang w:val="fr-FR"/>
        </w:rPr>
        <w:t>avoir attendu l</w:t>
      </w:r>
      <w:r w:rsidR="00603708">
        <w:rPr>
          <w:lang w:val="fr-FR"/>
        </w:rPr>
        <w:t>’</w:t>
      </w:r>
      <w:r>
        <w:rPr>
          <w:lang w:val="fr-FR"/>
        </w:rPr>
        <w:t>arrêt</w:t>
      </w:r>
      <w:r w:rsidR="00F76783">
        <w:rPr>
          <w:lang w:val="fr-FR"/>
        </w:rPr>
        <w:t xml:space="preserve"> de la Cour de cassation </w:t>
      </w:r>
      <w:r w:rsidR="00F76783" w:rsidRPr="00CA3929">
        <w:rPr>
          <w:rStyle w:val="JuHaChar"/>
          <w:b w:val="0"/>
          <w:sz w:val="24"/>
          <w:szCs w:val="24"/>
          <w:lang w:val="fr-FR"/>
        </w:rPr>
        <w:t xml:space="preserve">déposé </w:t>
      </w:r>
      <w:r w:rsidR="00F76783">
        <w:rPr>
          <w:rStyle w:val="JuHaChar"/>
          <w:b w:val="0"/>
          <w:sz w:val="24"/>
          <w:szCs w:val="24"/>
          <w:lang w:val="fr-FR"/>
        </w:rPr>
        <w:t xml:space="preserve">au greffe </w:t>
      </w:r>
      <w:r w:rsidR="00F76783" w:rsidRPr="00CA3929">
        <w:rPr>
          <w:rStyle w:val="JuHaChar"/>
          <w:b w:val="0"/>
          <w:sz w:val="24"/>
          <w:szCs w:val="24"/>
          <w:lang w:val="fr-FR"/>
        </w:rPr>
        <w:t>le 2 octobre 2012</w:t>
      </w:r>
      <w:r w:rsidR="002709C6">
        <w:rPr>
          <w:rStyle w:val="JuHaChar"/>
          <w:b w:val="0"/>
          <w:sz w:val="24"/>
          <w:szCs w:val="24"/>
          <w:lang w:val="fr-FR"/>
        </w:rPr>
        <w:t xml:space="preserve"> (</w:t>
      </w:r>
      <w:r w:rsidR="002709C6" w:rsidRPr="002709C6">
        <w:rPr>
          <w:rStyle w:val="JuHaChar"/>
          <w:b w:val="0"/>
          <w:sz w:val="24"/>
          <w:szCs w:val="24"/>
          <w:lang w:val="fr-FR"/>
        </w:rPr>
        <w:t>paragraphe 76 ci-dessus</w:t>
      </w:r>
      <w:r w:rsidR="002709C6">
        <w:rPr>
          <w:rStyle w:val="JuHaChar"/>
          <w:b w:val="0"/>
          <w:sz w:val="24"/>
          <w:szCs w:val="24"/>
          <w:lang w:val="fr-FR"/>
        </w:rPr>
        <w:t>)</w:t>
      </w:r>
      <w:r w:rsidR="00F76783">
        <w:rPr>
          <w:rStyle w:val="JuHaChar"/>
          <w:b w:val="0"/>
          <w:sz w:val="24"/>
          <w:szCs w:val="24"/>
          <w:lang w:val="fr-FR"/>
        </w:rPr>
        <w:t>.</w:t>
      </w:r>
    </w:p>
    <w:p w:rsidR="00603708" w:rsidRDefault="00F76783" w:rsidP="00D850B7">
      <w:pPr>
        <w:ind w:firstLine="232"/>
        <w:rPr>
          <w:lang w:val="fr-FR"/>
        </w:rPr>
      </w:pPr>
      <w:r w:rsidRPr="001F4FA7">
        <w:rPr>
          <w:rStyle w:val="JuHaChar"/>
          <w:b w:val="0"/>
          <w:sz w:val="24"/>
          <w:szCs w:val="24"/>
          <w:lang w:val="fr-FR"/>
        </w:rPr>
        <w:t>En conséquence,</w:t>
      </w:r>
      <w:r w:rsidR="001F4FA7" w:rsidRPr="001F4FA7">
        <w:rPr>
          <w:rStyle w:val="JuHaChar"/>
          <w:b w:val="0"/>
          <w:sz w:val="24"/>
          <w:szCs w:val="24"/>
          <w:lang w:val="fr-FR"/>
        </w:rPr>
        <w:t xml:space="preserve"> cette partie de</w:t>
      </w:r>
      <w:r w:rsidRPr="001F4FA7">
        <w:rPr>
          <w:rStyle w:val="JuHaChar"/>
          <w:b w:val="0"/>
          <w:sz w:val="24"/>
          <w:szCs w:val="24"/>
          <w:lang w:val="fr-FR"/>
        </w:rPr>
        <w:t xml:space="preserve"> </w:t>
      </w:r>
      <w:r w:rsidR="001F4FA7" w:rsidRPr="001F4FA7">
        <w:rPr>
          <w:rStyle w:val="JuHaChar"/>
          <w:b w:val="0"/>
          <w:sz w:val="24"/>
          <w:szCs w:val="24"/>
          <w:lang w:val="fr-FR"/>
        </w:rPr>
        <w:t>l</w:t>
      </w:r>
      <w:r w:rsidR="00603708">
        <w:rPr>
          <w:rStyle w:val="JuHaChar"/>
          <w:b w:val="0"/>
          <w:sz w:val="24"/>
          <w:szCs w:val="24"/>
          <w:lang w:val="fr-FR"/>
        </w:rPr>
        <w:t>’</w:t>
      </w:r>
      <w:r w:rsidR="001F4FA7" w:rsidRPr="001F4FA7">
        <w:rPr>
          <w:lang w:val="fr-FR"/>
        </w:rPr>
        <w:t xml:space="preserve">exception du Gouvernement </w:t>
      </w:r>
      <w:r w:rsidR="00602CB8">
        <w:rPr>
          <w:lang w:val="fr-FR"/>
        </w:rPr>
        <w:t xml:space="preserve">tirée du non-épuisement des voies de recours internes </w:t>
      </w:r>
      <w:r w:rsidR="001F4FA7" w:rsidRPr="001F4FA7">
        <w:rPr>
          <w:lang w:val="fr-FR"/>
        </w:rPr>
        <w:t>ne peut être retenue.</w:t>
      </w:r>
    </w:p>
    <w:p w:rsidR="0063278B" w:rsidRPr="0063278B" w:rsidRDefault="001F4FA7" w:rsidP="00AA1E2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149</w:t>
      </w:r>
      <w:r>
        <w:rPr>
          <w:lang w:val="fr-FR"/>
        </w:rPr>
        <w:fldChar w:fldCharType="end"/>
      </w:r>
      <w:r>
        <w:rPr>
          <w:lang w:val="fr-FR"/>
        </w:rPr>
        <w:t>.  </w:t>
      </w:r>
      <w:r w:rsidR="009C0D4F">
        <w:rPr>
          <w:lang w:val="fr-FR"/>
        </w:rPr>
        <w:t>En ce qui concerne le deuxième volet de l</w:t>
      </w:r>
      <w:r w:rsidR="00603708">
        <w:rPr>
          <w:lang w:val="fr-FR"/>
        </w:rPr>
        <w:t>’</w:t>
      </w:r>
      <w:r w:rsidR="00E64E41">
        <w:rPr>
          <w:lang w:val="fr-FR"/>
        </w:rPr>
        <w:t>exception du Gouvernement, tirée</w:t>
      </w:r>
      <w:r w:rsidR="009C0D4F">
        <w:rPr>
          <w:lang w:val="fr-FR"/>
        </w:rPr>
        <w:t xml:space="preserve"> du fait que le requérant n</w:t>
      </w:r>
      <w:r w:rsidR="00603708">
        <w:rPr>
          <w:lang w:val="fr-FR"/>
        </w:rPr>
        <w:t>’</w:t>
      </w:r>
      <w:r w:rsidR="009C0D4F">
        <w:rPr>
          <w:lang w:val="fr-FR"/>
        </w:rPr>
        <w:t xml:space="preserve">a pas entamé une procédure civile ultérieure en dommages-intérêts, la Cour </w:t>
      </w:r>
      <w:r w:rsidR="0063278B">
        <w:rPr>
          <w:lang w:val="fr-FR"/>
        </w:rPr>
        <w:t xml:space="preserve">renvoie, </w:t>
      </w:r>
      <w:r w:rsidR="009C0D4F">
        <w:rPr>
          <w:lang w:val="fr-FR"/>
        </w:rPr>
        <w:t>tout d</w:t>
      </w:r>
      <w:r w:rsidR="00603708">
        <w:rPr>
          <w:lang w:val="fr-FR"/>
        </w:rPr>
        <w:t>’</w:t>
      </w:r>
      <w:r w:rsidR="009C0D4F">
        <w:rPr>
          <w:lang w:val="fr-FR"/>
        </w:rPr>
        <w:t xml:space="preserve">abord, </w:t>
      </w:r>
      <w:r w:rsidR="0063278B">
        <w:rPr>
          <w:rStyle w:val="sb8d990e2"/>
          <w:lang w:val="fr-FR"/>
        </w:rPr>
        <w:t>aux</w:t>
      </w:r>
      <w:r w:rsidR="0063278B" w:rsidRPr="0063278B">
        <w:rPr>
          <w:rStyle w:val="sb8d990e2"/>
          <w:lang w:val="fr-FR"/>
        </w:rPr>
        <w:t xml:space="preserve"> principes généraux relatifs à la règle de l</w:t>
      </w:r>
      <w:r w:rsidR="00603708">
        <w:rPr>
          <w:rStyle w:val="sb8d990e2"/>
          <w:lang w:val="fr-FR"/>
        </w:rPr>
        <w:t>’</w:t>
      </w:r>
      <w:r w:rsidR="0063278B" w:rsidRPr="0063278B">
        <w:rPr>
          <w:rStyle w:val="sb8d990e2"/>
          <w:lang w:val="fr-FR"/>
        </w:rPr>
        <w:t xml:space="preserve">épuisement des voies de recours internes </w:t>
      </w:r>
      <w:r w:rsidR="0063278B">
        <w:rPr>
          <w:rStyle w:val="sb8d990e2"/>
          <w:lang w:val="fr-FR"/>
        </w:rPr>
        <w:t>qui ont été résumés</w:t>
      </w:r>
      <w:r w:rsidR="0063278B" w:rsidRPr="0063278B">
        <w:rPr>
          <w:rStyle w:val="sb8d990e2"/>
          <w:lang w:val="fr-FR"/>
        </w:rPr>
        <w:t xml:space="preserve"> </w:t>
      </w:r>
      <w:r w:rsidR="0063278B">
        <w:rPr>
          <w:rStyle w:val="sb8d990e2"/>
          <w:lang w:val="fr-FR"/>
        </w:rPr>
        <w:t xml:space="preserve">récemment </w:t>
      </w:r>
      <w:r w:rsidR="0063278B" w:rsidRPr="0063278B">
        <w:rPr>
          <w:rStyle w:val="sb8d990e2"/>
          <w:lang w:val="fr-FR"/>
        </w:rPr>
        <w:t>dans l</w:t>
      </w:r>
      <w:r w:rsidR="00603708">
        <w:rPr>
          <w:rStyle w:val="sb8d990e2"/>
          <w:lang w:val="fr-FR"/>
        </w:rPr>
        <w:t>’</w:t>
      </w:r>
      <w:r w:rsidR="0063278B" w:rsidRPr="0063278B">
        <w:rPr>
          <w:rStyle w:val="sb8d990e2"/>
          <w:lang w:val="fr-FR"/>
        </w:rPr>
        <w:t xml:space="preserve">arrêt </w:t>
      </w:r>
      <w:r w:rsidR="0063278B" w:rsidRPr="00AC0DAF">
        <w:rPr>
          <w:i/>
          <w:lang w:val="fr-FR"/>
        </w:rPr>
        <w:t>Vučković et autres c. Serbie</w:t>
      </w:r>
      <w:r w:rsidR="0063278B" w:rsidRPr="00AC0DAF">
        <w:rPr>
          <w:rStyle w:val="s6b621b36"/>
          <w:lang w:val="fr-FR"/>
        </w:rPr>
        <w:t xml:space="preserve"> </w:t>
      </w:r>
      <w:r w:rsidR="0063278B" w:rsidRPr="00AC0DAF">
        <w:rPr>
          <w:rStyle w:val="sb8d990e2"/>
          <w:lang w:val="fr-FR"/>
        </w:rPr>
        <w:t>([GC], n</w:t>
      </w:r>
      <w:r w:rsidR="0063278B" w:rsidRPr="00AC0DAF">
        <w:rPr>
          <w:rStyle w:val="sb8d990e2"/>
          <w:vertAlign w:val="superscript"/>
          <w:lang w:val="fr-FR"/>
        </w:rPr>
        <w:t>os</w:t>
      </w:r>
      <w:r w:rsidR="0063278B" w:rsidRPr="00AC0DAF">
        <w:rPr>
          <w:lang w:val="fr-FR"/>
        </w:rPr>
        <w:t xml:space="preserve"> 17153/11 et autres</w:t>
      </w:r>
      <w:r w:rsidR="0063278B" w:rsidRPr="00AC0DAF">
        <w:rPr>
          <w:rStyle w:val="sb8d990e2"/>
          <w:lang w:val="fr-FR"/>
        </w:rPr>
        <w:t>, §§ 69-77, 25 mars 2014</w:t>
      </w:r>
      <w:r w:rsidR="0063278B" w:rsidRPr="00C24C6A">
        <w:rPr>
          <w:rStyle w:val="sb8d990e2"/>
          <w:lang w:val="fr-FR"/>
        </w:rPr>
        <w:t>).</w:t>
      </w:r>
    </w:p>
    <w:p w:rsidR="0063278B" w:rsidRDefault="00BA0FB9" w:rsidP="00AA1E2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150</w:t>
      </w:r>
      <w:r>
        <w:rPr>
          <w:lang w:val="fr-FR"/>
        </w:rPr>
        <w:fldChar w:fldCharType="end"/>
      </w:r>
      <w:r>
        <w:rPr>
          <w:lang w:val="fr-FR"/>
        </w:rPr>
        <w:t>.  Elle rappelle, en particulier,</w:t>
      </w:r>
      <w:r w:rsidRPr="00BA0FB9">
        <w:rPr>
          <w:lang w:val="fr-FR"/>
        </w:rPr>
        <w:t xml:space="preserve"> que l</w:t>
      </w:r>
      <w:r w:rsidR="00603708">
        <w:rPr>
          <w:lang w:val="fr-FR"/>
        </w:rPr>
        <w:t>’</w:t>
      </w:r>
      <w:r w:rsidRPr="00BA0FB9">
        <w:rPr>
          <w:lang w:val="fr-FR"/>
        </w:rPr>
        <w:t>article 35 § 1 de la Convention ne prescrit que l</w:t>
      </w:r>
      <w:r w:rsidR="00603708">
        <w:rPr>
          <w:lang w:val="fr-FR"/>
        </w:rPr>
        <w:t>’</w:t>
      </w:r>
      <w:r w:rsidRPr="00BA0FB9">
        <w:rPr>
          <w:lang w:val="fr-FR"/>
        </w:rPr>
        <w:t>épuisement des recours à la fois relatifs aux violations incriminées, disponibles et adéquats. Un recours est effectif lorsqu</w:t>
      </w:r>
      <w:r w:rsidR="00603708">
        <w:rPr>
          <w:lang w:val="fr-FR"/>
        </w:rPr>
        <w:t>’</w:t>
      </w:r>
      <w:r w:rsidRPr="00BA0FB9">
        <w:rPr>
          <w:lang w:val="fr-FR"/>
        </w:rPr>
        <w:t>il est disponible tant en théorie qu</w:t>
      </w:r>
      <w:r w:rsidR="00603708">
        <w:rPr>
          <w:lang w:val="fr-FR"/>
        </w:rPr>
        <w:t>’</w:t>
      </w:r>
      <w:r w:rsidRPr="00BA0FB9">
        <w:rPr>
          <w:lang w:val="fr-FR"/>
        </w:rPr>
        <w:t>en pratique à l</w:t>
      </w:r>
      <w:r w:rsidR="00603708">
        <w:rPr>
          <w:lang w:val="fr-FR"/>
        </w:rPr>
        <w:t>’</w:t>
      </w:r>
      <w:r w:rsidRPr="00BA0FB9">
        <w:rPr>
          <w:lang w:val="fr-FR"/>
        </w:rPr>
        <w:t>époque des faits, c</w:t>
      </w:r>
      <w:r w:rsidR="00603708">
        <w:rPr>
          <w:lang w:val="fr-FR"/>
        </w:rPr>
        <w:t>’</w:t>
      </w:r>
      <w:r w:rsidRPr="00BA0FB9">
        <w:rPr>
          <w:lang w:val="fr-FR"/>
        </w:rPr>
        <w:t>est-à-dire lorsqu</w:t>
      </w:r>
      <w:r w:rsidR="00603708">
        <w:rPr>
          <w:lang w:val="fr-FR"/>
        </w:rPr>
        <w:t>’</w:t>
      </w:r>
      <w:r w:rsidRPr="00BA0FB9">
        <w:rPr>
          <w:lang w:val="fr-FR"/>
        </w:rPr>
        <w:t>il est accessible, susceptible d</w:t>
      </w:r>
      <w:r w:rsidR="00603708">
        <w:rPr>
          <w:lang w:val="fr-FR"/>
        </w:rPr>
        <w:t>’</w:t>
      </w:r>
      <w:r w:rsidRPr="00BA0FB9">
        <w:rPr>
          <w:lang w:val="fr-FR"/>
        </w:rPr>
        <w:t xml:space="preserve">offrir au requérant le redressement de ses griefs et présente des perspectives raisonnables de succès </w:t>
      </w:r>
      <w:r w:rsidRPr="00BA0FB9">
        <w:rPr>
          <w:rStyle w:val="sb8d990e2"/>
          <w:lang w:val="fr-FR"/>
        </w:rPr>
        <w:t>(</w:t>
      </w:r>
      <w:r w:rsidRPr="00AC0DAF">
        <w:rPr>
          <w:i/>
          <w:lang w:val="fr-FR"/>
        </w:rPr>
        <w:t>Akdivar et autres c. Turquie</w:t>
      </w:r>
      <w:r w:rsidRPr="00AC0DAF">
        <w:rPr>
          <w:lang w:val="fr-FR"/>
        </w:rPr>
        <w:t xml:space="preserve">, 16 septembre 1996, § 68, </w:t>
      </w:r>
      <w:r w:rsidRPr="00AC0DAF">
        <w:rPr>
          <w:i/>
          <w:lang w:val="fr-FR"/>
        </w:rPr>
        <w:t xml:space="preserve">Recueil </w:t>
      </w:r>
      <w:r w:rsidRPr="00AC0DAF">
        <w:rPr>
          <w:lang w:val="fr-FR"/>
        </w:rPr>
        <w:t>1996</w:t>
      </w:r>
      <w:r w:rsidRPr="00AC0DAF">
        <w:rPr>
          <w:lang w:val="fr-FR"/>
        </w:rPr>
        <w:noBreakHyphen/>
        <w:t xml:space="preserve">IV, et </w:t>
      </w:r>
      <w:r w:rsidRPr="00AC0DAF">
        <w:rPr>
          <w:i/>
          <w:snapToGrid w:val="0"/>
          <w:lang w:val="fr-FR"/>
        </w:rPr>
        <w:t xml:space="preserve">Demopoulos et autres c. Turquie </w:t>
      </w:r>
      <w:r w:rsidRPr="00AC0DAF">
        <w:rPr>
          <w:snapToGrid w:val="0"/>
          <w:lang w:val="fr-FR"/>
        </w:rPr>
        <w:t>(déc.) [GC], n</w:t>
      </w:r>
      <w:r w:rsidRPr="00AC0DAF">
        <w:rPr>
          <w:snapToGrid w:val="0"/>
          <w:vertAlign w:val="superscript"/>
          <w:lang w:val="fr-FR"/>
        </w:rPr>
        <w:t>os</w:t>
      </w:r>
      <w:r w:rsidRPr="00AC0DAF">
        <w:rPr>
          <w:snapToGrid w:val="0"/>
          <w:lang w:val="fr-FR"/>
        </w:rPr>
        <w:t xml:space="preserve"> 46113/99, 3843/02, 13751/02, 13466/03, 10200/04, 14163/04, 19993/04 et 21819/04</w:t>
      </w:r>
      <w:r w:rsidRPr="00AC0DAF">
        <w:rPr>
          <w:lang w:val="fr-FR"/>
        </w:rPr>
        <w:t>, § 70, CEDH 2010</w:t>
      </w:r>
      <w:r w:rsidRPr="00C24C6A">
        <w:rPr>
          <w:rStyle w:val="sb8d990e2"/>
          <w:lang w:val="fr-FR"/>
        </w:rPr>
        <w:t>).</w:t>
      </w:r>
    </w:p>
    <w:p w:rsidR="001E5D9C" w:rsidRPr="00A27F18" w:rsidRDefault="0063278B" w:rsidP="00BA0FB9">
      <w:pPr>
        <w:pStyle w:val="ECHRPara"/>
        <w:rPr>
          <w:rStyle w:val="sfbbfee58"/>
          <w:i/>
          <w:szCs w:val="24"/>
          <w:lang w:val="fr-FR"/>
        </w:rPr>
      </w:pPr>
      <w:r>
        <w:rPr>
          <w:lang w:val="fr-FR"/>
        </w:rPr>
        <w:fldChar w:fldCharType="begin"/>
      </w:r>
      <w:r w:rsidRPr="001E5D9C">
        <w:rPr>
          <w:lang w:val="fr-FR"/>
        </w:rPr>
        <w:instrText xml:space="preserve"> SEQ level0 \*arabic </w:instrText>
      </w:r>
      <w:r>
        <w:rPr>
          <w:lang w:val="fr-FR"/>
        </w:rPr>
        <w:fldChar w:fldCharType="separate"/>
      </w:r>
      <w:r w:rsidR="00B378F9">
        <w:rPr>
          <w:noProof/>
          <w:lang w:val="fr-FR"/>
        </w:rPr>
        <w:t>151</w:t>
      </w:r>
      <w:r>
        <w:rPr>
          <w:lang w:val="fr-FR"/>
        </w:rPr>
        <w:fldChar w:fldCharType="end"/>
      </w:r>
      <w:r w:rsidRPr="001E5D9C">
        <w:rPr>
          <w:lang w:val="fr-FR"/>
        </w:rPr>
        <w:t>.</w:t>
      </w:r>
      <w:r w:rsidR="00AA3BA8">
        <w:rPr>
          <w:lang w:val="fr-FR"/>
        </w:rPr>
        <w:t>  </w:t>
      </w:r>
      <w:r w:rsidR="00BA0FB9" w:rsidRPr="00BA0FB9">
        <w:rPr>
          <w:rStyle w:val="sfbbfee58"/>
          <w:lang w:val="fr-FR"/>
        </w:rPr>
        <w:t xml:space="preserve">La Cour </w:t>
      </w:r>
      <w:r w:rsidR="00842905">
        <w:rPr>
          <w:rStyle w:val="sfbbfee58"/>
          <w:lang w:val="fr-FR"/>
        </w:rPr>
        <w:t>rappelle</w:t>
      </w:r>
      <w:r w:rsidR="00BA0FB9">
        <w:rPr>
          <w:rStyle w:val="sfbbfee58"/>
          <w:lang w:val="fr-FR"/>
        </w:rPr>
        <w:t xml:space="preserve"> également</w:t>
      </w:r>
      <w:r w:rsidR="00BA0FB9" w:rsidRPr="00BA0FB9">
        <w:rPr>
          <w:rStyle w:val="sb8d990e2"/>
          <w:lang w:val="fr-FR"/>
        </w:rPr>
        <w:t xml:space="preserve"> </w:t>
      </w:r>
      <w:r w:rsidR="00BA0FB9" w:rsidRPr="00BA0FB9">
        <w:rPr>
          <w:rStyle w:val="sfbbfee58"/>
          <w:lang w:val="fr-FR"/>
        </w:rPr>
        <w:t>qu</w:t>
      </w:r>
      <w:r w:rsidR="00603708">
        <w:rPr>
          <w:rStyle w:val="sfbbfee58"/>
          <w:lang w:val="fr-FR"/>
        </w:rPr>
        <w:t>’</w:t>
      </w:r>
      <w:r w:rsidR="00BA0FB9" w:rsidRPr="00BA0FB9">
        <w:rPr>
          <w:rStyle w:val="sfbbfee58"/>
          <w:lang w:val="fr-FR"/>
        </w:rPr>
        <w:t>elle doit appliquer la règle de l</w:t>
      </w:r>
      <w:r w:rsidR="00603708">
        <w:rPr>
          <w:rStyle w:val="sfbbfee58"/>
          <w:lang w:val="fr-FR"/>
        </w:rPr>
        <w:t>’</w:t>
      </w:r>
      <w:r w:rsidR="00BA0FB9" w:rsidRPr="00BA0FB9">
        <w:rPr>
          <w:rStyle w:val="sfbbfee58"/>
          <w:lang w:val="fr-FR"/>
        </w:rPr>
        <w:t>épuisement des recours internes en tenant dûment compte du contexte</w:t>
      </w:r>
      <w:r w:rsidR="00842905">
        <w:rPr>
          <w:rStyle w:val="sfbbfee58"/>
          <w:lang w:val="fr-FR"/>
        </w:rPr>
        <w:t> :</w:t>
      </w:r>
      <w:r w:rsidR="00BA0FB9" w:rsidRPr="00BA0FB9">
        <w:rPr>
          <w:rStyle w:val="sfbbfee58"/>
          <w:lang w:val="fr-FR"/>
        </w:rPr>
        <w:t xml:space="preserve"> le</w:t>
      </w:r>
      <w:r w:rsidR="00EE246F">
        <w:rPr>
          <w:rStyle w:val="sfbbfee58"/>
          <w:lang w:val="fr-FR"/>
        </w:rPr>
        <w:t> </w:t>
      </w:r>
      <w:r w:rsidR="00BA0FB9" w:rsidRPr="00BA0FB9">
        <w:rPr>
          <w:rStyle w:val="sfbbfee58"/>
          <w:lang w:val="fr-FR"/>
        </w:rPr>
        <w:t>mécanisme de sauvegarde des droits de l</w:t>
      </w:r>
      <w:r w:rsidR="00603708">
        <w:rPr>
          <w:rStyle w:val="sfbbfee58"/>
          <w:lang w:val="fr-FR"/>
        </w:rPr>
        <w:t>’</w:t>
      </w:r>
      <w:r w:rsidR="00BA0FB9" w:rsidRPr="00BA0FB9">
        <w:rPr>
          <w:rStyle w:val="sfbbfee58"/>
          <w:lang w:val="fr-FR"/>
        </w:rPr>
        <w:t>homme que les Parties contractantes sont convenues d</w:t>
      </w:r>
      <w:r w:rsidR="00603708">
        <w:rPr>
          <w:rStyle w:val="sfbbfee58"/>
          <w:lang w:val="fr-FR"/>
        </w:rPr>
        <w:t>’</w:t>
      </w:r>
      <w:r w:rsidR="00BA0FB9" w:rsidRPr="00BA0FB9">
        <w:rPr>
          <w:rStyle w:val="sfbbfee58"/>
          <w:lang w:val="fr-FR"/>
        </w:rPr>
        <w:t xml:space="preserve">instaurer. Elle a ainsi reconnu que </w:t>
      </w:r>
      <w:r w:rsidR="00842905" w:rsidRPr="00BA0FB9">
        <w:rPr>
          <w:rStyle w:val="sfbbfee58"/>
          <w:lang w:val="fr-FR"/>
        </w:rPr>
        <w:t>l</w:t>
      </w:r>
      <w:r w:rsidR="00603708">
        <w:rPr>
          <w:rStyle w:val="sfbbfee58"/>
          <w:lang w:val="fr-FR"/>
        </w:rPr>
        <w:t>’</w:t>
      </w:r>
      <w:r w:rsidR="00842905" w:rsidRPr="00BA0FB9">
        <w:rPr>
          <w:rStyle w:val="sfbbfee58"/>
          <w:lang w:val="fr-FR"/>
        </w:rPr>
        <w:t>article</w:t>
      </w:r>
      <w:r w:rsidR="00842905">
        <w:rPr>
          <w:rStyle w:val="sfbbfee58"/>
          <w:lang w:val="fr-FR"/>
        </w:rPr>
        <w:t> </w:t>
      </w:r>
      <w:r w:rsidR="00BA0FB9" w:rsidRPr="00BA0FB9">
        <w:rPr>
          <w:rStyle w:val="sfbbfee58"/>
          <w:lang w:val="fr-FR"/>
        </w:rPr>
        <w:t>35 § 1 doit s</w:t>
      </w:r>
      <w:r w:rsidR="00603708">
        <w:rPr>
          <w:rStyle w:val="sfbbfee58"/>
          <w:lang w:val="fr-FR"/>
        </w:rPr>
        <w:t>’</w:t>
      </w:r>
      <w:r w:rsidR="00BA0FB9" w:rsidRPr="00BA0FB9">
        <w:rPr>
          <w:rStyle w:val="sfbbfee58"/>
          <w:lang w:val="fr-FR"/>
        </w:rPr>
        <w:t xml:space="preserve">appliquer avec une certaine souplesse et sans </w:t>
      </w:r>
      <w:r w:rsidR="00BA0FB9" w:rsidRPr="00BA0FB9">
        <w:rPr>
          <w:rStyle w:val="wordhighlighted"/>
          <w:lang w:val="fr-FR"/>
        </w:rPr>
        <w:t>formalisme</w:t>
      </w:r>
      <w:r w:rsidR="00BA0FB9" w:rsidRPr="00BA0FB9">
        <w:rPr>
          <w:rStyle w:val="sfbbfee58"/>
          <w:lang w:val="fr-FR"/>
        </w:rPr>
        <w:t xml:space="preserve"> </w:t>
      </w:r>
      <w:r w:rsidR="00BA0FB9" w:rsidRPr="00BA0FB9">
        <w:rPr>
          <w:rStyle w:val="wordhighlighted"/>
          <w:lang w:val="fr-FR"/>
        </w:rPr>
        <w:t>excessif</w:t>
      </w:r>
      <w:r w:rsidR="00BA0FB9" w:rsidRPr="00BA0FB9">
        <w:rPr>
          <w:rStyle w:val="sfbbfee58"/>
          <w:lang w:val="fr-FR"/>
        </w:rPr>
        <w:t>. Elle a de plus admis que la règle de l</w:t>
      </w:r>
      <w:r w:rsidR="00603708">
        <w:rPr>
          <w:rStyle w:val="sfbbfee58"/>
          <w:lang w:val="fr-FR"/>
        </w:rPr>
        <w:t>’</w:t>
      </w:r>
      <w:r w:rsidR="00BA0FB9" w:rsidRPr="00BA0FB9">
        <w:rPr>
          <w:rStyle w:val="sfbbfee58"/>
          <w:lang w:val="fr-FR"/>
        </w:rPr>
        <w:t>épuisement des voies de recours internes ne s</w:t>
      </w:r>
      <w:r w:rsidR="00603708">
        <w:rPr>
          <w:rStyle w:val="sfbbfee58"/>
          <w:lang w:val="fr-FR"/>
        </w:rPr>
        <w:t>’</w:t>
      </w:r>
      <w:r w:rsidR="00BA0FB9" w:rsidRPr="00BA0FB9">
        <w:rPr>
          <w:rStyle w:val="sfbbfee58"/>
          <w:lang w:val="fr-FR"/>
        </w:rPr>
        <w:t>accommode pas d</w:t>
      </w:r>
      <w:r w:rsidR="00603708">
        <w:rPr>
          <w:rStyle w:val="sfbbfee58"/>
          <w:lang w:val="fr-FR"/>
        </w:rPr>
        <w:t>’</w:t>
      </w:r>
      <w:r w:rsidR="00BA0FB9" w:rsidRPr="00BA0FB9">
        <w:rPr>
          <w:rStyle w:val="sfbbfee58"/>
          <w:lang w:val="fr-FR"/>
        </w:rPr>
        <w:t>une application automatique et ne revêt pas un caractère absolu</w:t>
      </w:r>
      <w:r w:rsidR="00842905">
        <w:rPr>
          <w:rStyle w:val="sfbbfee58"/>
          <w:lang w:val="fr-FR"/>
        </w:rPr>
        <w:t> ;</w:t>
      </w:r>
      <w:r w:rsidR="00BA0FB9" w:rsidRPr="00BA0FB9">
        <w:rPr>
          <w:rStyle w:val="sfbbfee58"/>
          <w:lang w:val="fr-FR"/>
        </w:rPr>
        <w:t xml:space="preserve"> </w:t>
      </w:r>
      <w:r w:rsidR="003A76E1">
        <w:rPr>
          <w:rStyle w:val="sfbbfee58"/>
          <w:lang w:val="fr-FR"/>
        </w:rPr>
        <w:t>pour</w:t>
      </w:r>
      <w:r w:rsidR="003A76E1" w:rsidRPr="00BA0FB9">
        <w:rPr>
          <w:rStyle w:val="sfbbfee58"/>
          <w:lang w:val="fr-FR"/>
        </w:rPr>
        <w:t xml:space="preserve"> </w:t>
      </w:r>
      <w:r w:rsidR="00BA0FB9" w:rsidRPr="00BA0FB9">
        <w:rPr>
          <w:rStyle w:val="sfbbfee58"/>
          <w:lang w:val="fr-FR"/>
        </w:rPr>
        <w:t>en contrôl</w:t>
      </w:r>
      <w:r w:rsidR="003A76E1">
        <w:rPr>
          <w:rStyle w:val="sfbbfee58"/>
          <w:lang w:val="fr-FR"/>
        </w:rPr>
        <w:t>er</w:t>
      </w:r>
      <w:r w:rsidR="00BA0FB9" w:rsidRPr="00BA0FB9">
        <w:rPr>
          <w:rStyle w:val="sfbbfee58"/>
          <w:lang w:val="fr-FR"/>
        </w:rPr>
        <w:t xml:space="preserve"> le respect, il faut avoir égard aux circonstances de la cause. Cela signifie notamment que la Cour doit tenir compte de manière réaliste du contexte juridique et politique dans lequel les recours s</w:t>
      </w:r>
      <w:r w:rsidR="00603708">
        <w:rPr>
          <w:rStyle w:val="sfbbfee58"/>
          <w:lang w:val="fr-FR"/>
        </w:rPr>
        <w:t>’</w:t>
      </w:r>
      <w:r w:rsidR="00BA0FB9" w:rsidRPr="00BA0FB9">
        <w:rPr>
          <w:rStyle w:val="sfbbfee58"/>
          <w:lang w:val="fr-FR"/>
        </w:rPr>
        <w:t xml:space="preserve">inscrivent ainsi que de la situation personnelle des requérants </w:t>
      </w:r>
      <w:r w:rsidR="00BA0FB9" w:rsidRPr="00C15446">
        <w:rPr>
          <w:rStyle w:val="sfbbfee58"/>
          <w:lang w:val="fr-FR"/>
        </w:rPr>
        <w:t>(voir, parmi beaucoup d</w:t>
      </w:r>
      <w:r w:rsidR="00603708">
        <w:rPr>
          <w:rStyle w:val="sfbbfee58"/>
          <w:lang w:val="fr-FR"/>
        </w:rPr>
        <w:t>’</w:t>
      </w:r>
      <w:r w:rsidR="00BA0FB9" w:rsidRPr="00C15446">
        <w:rPr>
          <w:rStyle w:val="sfbbfee58"/>
          <w:lang w:val="fr-FR"/>
        </w:rPr>
        <w:t>autres,</w:t>
      </w:r>
      <w:r w:rsidR="009A0B7A" w:rsidRPr="00C15446">
        <w:rPr>
          <w:rStyle w:val="sfbbfee58"/>
          <w:lang w:val="fr-FR"/>
        </w:rPr>
        <w:t xml:space="preserve"> </w:t>
      </w:r>
      <w:r w:rsidR="009A0B7A" w:rsidRPr="00AC0DAF">
        <w:rPr>
          <w:i/>
          <w:lang w:val="fr-FR"/>
        </w:rPr>
        <w:t>Akdivar et autres</w:t>
      </w:r>
      <w:r w:rsidR="009A0B7A" w:rsidRPr="00AC0DAF">
        <w:rPr>
          <w:lang w:val="fr-FR"/>
        </w:rPr>
        <w:t>, précitée, § 69</w:t>
      </w:r>
      <w:r w:rsidR="00842905">
        <w:rPr>
          <w:lang w:val="fr-FR"/>
        </w:rPr>
        <w:t>,</w:t>
      </w:r>
      <w:r w:rsidR="0032468C">
        <w:rPr>
          <w:lang w:val="fr-FR"/>
        </w:rPr>
        <w:t xml:space="preserve"> </w:t>
      </w:r>
      <w:r w:rsidR="00C15446" w:rsidRPr="00AC0DAF">
        <w:rPr>
          <w:i/>
          <w:lang w:val="fr-FR"/>
        </w:rPr>
        <w:t>Selmouni</w:t>
      </w:r>
      <w:r w:rsidR="009A0B7A" w:rsidRPr="00AC0DAF">
        <w:rPr>
          <w:i/>
          <w:lang w:val="fr-FR"/>
        </w:rPr>
        <w:t xml:space="preserve"> c. France </w:t>
      </w:r>
      <w:r w:rsidR="009A0B7A" w:rsidRPr="00AC0DAF">
        <w:rPr>
          <w:lang w:val="fr-FR"/>
        </w:rPr>
        <w:t>[GC], n</w:t>
      </w:r>
      <w:r w:rsidR="009A0B7A" w:rsidRPr="00AC0DAF">
        <w:rPr>
          <w:vertAlign w:val="superscript"/>
          <w:lang w:val="fr-FR"/>
        </w:rPr>
        <w:t>o</w:t>
      </w:r>
      <w:r w:rsidR="009A0B7A" w:rsidRPr="00AC0DAF">
        <w:rPr>
          <w:lang w:val="fr-FR"/>
        </w:rPr>
        <w:t xml:space="preserve"> 25803/94, § 77, CEDH 1999</w:t>
      </w:r>
      <w:r w:rsidR="009A0B7A" w:rsidRPr="00AC0DAF">
        <w:rPr>
          <w:lang w:val="fr-FR"/>
        </w:rPr>
        <w:noBreakHyphen/>
        <w:t>V</w:t>
      </w:r>
      <w:r w:rsidR="00842905">
        <w:rPr>
          <w:lang w:val="fr-FR"/>
        </w:rPr>
        <w:t>,</w:t>
      </w:r>
      <w:r w:rsidR="00A27F18" w:rsidRPr="00AC0DAF">
        <w:rPr>
          <w:lang w:val="fr-FR"/>
        </w:rPr>
        <w:t xml:space="preserve"> </w:t>
      </w:r>
      <w:r w:rsidR="00A27F18" w:rsidRPr="00AC0DAF">
        <w:rPr>
          <w:i/>
          <w:lang w:val="fr-FR"/>
        </w:rPr>
        <w:t xml:space="preserve">Kozacıoğlu </w:t>
      </w:r>
      <w:r w:rsidR="00A27F18" w:rsidRPr="00AC0DAF">
        <w:rPr>
          <w:i/>
          <w:snapToGrid w:val="0"/>
          <w:lang w:val="fr-FR"/>
        </w:rPr>
        <w:t>c. Turquie</w:t>
      </w:r>
      <w:r w:rsidR="00A27F18" w:rsidRPr="00AC0DAF">
        <w:rPr>
          <w:i/>
          <w:lang w:val="fr-FR"/>
        </w:rPr>
        <w:t xml:space="preserve"> </w:t>
      </w:r>
      <w:r w:rsidR="00A27F18" w:rsidRPr="00AC0DAF">
        <w:rPr>
          <w:lang w:val="fr-FR"/>
        </w:rPr>
        <w:t>[GC]</w:t>
      </w:r>
      <w:r w:rsidR="00A27F18" w:rsidRPr="00AC0DAF">
        <w:rPr>
          <w:snapToGrid w:val="0"/>
          <w:lang w:val="fr-FR"/>
        </w:rPr>
        <w:t>, n</w:t>
      </w:r>
      <w:r w:rsidR="00A27F18" w:rsidRPr="00AC0DAF">
        <w:rPr>
          <w:snapToGrid w:val="0"/>
          <w:vertAlign w:val="superscript"/>
          <w:lang w:val="fr-FR"/>
        </w:rPr>
        <w:t>o</w:t>
      </w:r>
      <w:r w:rsidR="00A27F18" w:rsidRPr="00AC0DAF">
        <w:rPr>
          <w:lang w:val="fr-FR"/>
        </w:rPr>
        <w:t xml:space="preserve"> 2334/03, § 40, 19</w:t>
      </w:r>
      <w:r w:rsidR="00FF3387">
        <w:rPr>
          <w:lang w:val="fr-FR"/>
        </w:rPr>
        <w:t> </w:t>
      </w:r>
      <w:r w:rsidR="00A27F18" w:rsidRPr="00AC0DAF">
        <w:rPr>
          <w:lang w:val="fr-FR"/>
        </w:rPr>
        <w:t>février</w:t>
      </w:r>
      <w:r w:rsidR="00FF3387">
        <w:rPr>
          <w:lang w:val="fr-FR"/>
        </w:rPr>
        <w:t> </w:t>
      </w:r>
      <w:r w:rsidR="00A27F18" w:rsidRPr="00AC0DAF">
        <w:rPr>
          <w:lang w:val="fr-FR"/>
        </w:rPr>
        <w:t>2009</w:t>
      </w:r>
      <w:r w:rsidR="00842905">
        <w:rPr>
          <w:lang w:val="fr-FR"/>
        </w:rPr>
        <w:t>, et</w:t>
      </w:r>
      <w:r w:rsidR="009A0B7A" w:rsidRPr="00AC0DAF">
        <w:rPr>
          <w:lang w:val="fr-FR"/>
        </w:rPr>
        <w:t xml:space="preserve"> </w:t>
      </w:r>
      <w:r w:rsidR="009A0B7A" w:rsidRPr="00AC0DAF">
        <w:rPr>
          <w:i/>
          <w:lang w:val="fr-FR"/>
        </w:rPr>
        <w:t>Reshetnyak c. Russie</w:t>
      </w:r>
      <w:r w:rsidR="009A0B7A" w:rsidRPr="00AC0DAF">
        <w:rPr>
          <w:lang w:val="fr-FR"/>
        </w:rPr>
        <w:t>, n</w:t>
      </w:r>
      <w:r w:rsidR="009A0B7A" w:rsidRPr="00AC0DAF">
        <w:rPr>
          <w:vertAlign w:val="superscript"/>
          <w:lang w:val="fr-FR"/>
        </w:rPr>
        <w:t>o</w:t>
      </w:r>
      <w:r w:rsidR="00A04B80">
        <w:rPr>
          <w:lang w:val="fr-FR"/>
        </w:rPr>
        <w:t> </w:t>
      </w:r>
      <w:r w:rsidR="009A0B7A" w:rsidRPr="00AC0DAF">
        <w:rPr>
          <w:lang w:val="fr-FR"/>
        </w:rPr>
        <w:t>56027/10</w:t>
      </w:r>
      <w:r w:rsidR="009A0B7A" w:rsidRPr="00AC0DAF">
        <w:rPr>
          <w:snapToGrid w:val="0"/>
          <w:lang w:val="fr-FR"/>
        </w:rPr>
        <w:t xml:space="preserve">, § 58, 8 </w:t>
      </w:r>
      <w:r w:rsidR="009A0B7A" w:rsidRPr="00AC0DAF">
        <w:rPr>
          <w:lang w:val="fr-FR"/>
        </w:rPr>
        <w:t>janvier</w:t>
      </w:r>
      <w:r w:rsidR="009A0B7A" w:rsidRPr="00AC0DAF">
        <w:rPr>
          <w:snapToGrid w:val="0"/>
          <w:lang w:val="fr-FR"/>
        </w:rPr>
        <w:t xml:space="preserve"> 2013</w:t>
      </w:r>
      <w:r w:rsidR="00BA0FB9" w:rsidRPr="00C15446">
        <w:rPr>
          <w:rStyle w:val="sfbbfee58"/>
          <w:lang w:val="fr-FR"/>
        </w:rPr>
        <w:t>).</w:t>
      </w:r>
    </w:p>
    <w:p w:rsidR="00F11224" w:rsidRDefault="001E5D9C">
      <w:pPr>
        <w:pStyle w:val="ECHRPara"/>
        <w:rPr>
          <w:rStyle w:val="sb8d990e2"/>
          <w:lang w:val="fr-FR"/>
        </w:rPr>
      </w:pPr>
      <w:r w:rsidRPr="001E5D9C">
        <w:rPr>
          <w:lang w:val="fr-FR"/>
        </w:rPr>
        <w:fldChar w:fldCharType="begin"/>
      </w:r>
      <w:r w:rsidRPr="001E5D9C">
        <w:rPr>
          <w:lang w:val="fr-FR"/>
        </w:rPr>
        <w:instrText xml:space="preserve"> SEQ level0 \*arabic </w:instrText>
      </w:r>
      <w:r w:rsidRPr="001E5D9C">
        <w:rPr>
          <w:lang w:val="fr-FR"/>
        </w:rPr>
        <w:fldChar w:fldCharType="separate"/>
      </w:r>
      <w:r w:rsidR="00B378F9">
        <w:rPr>
          <w:noProof/>
          <w:lang w:val="fr-FR"/>
        </w:rPr>
        <w:t>152</w:t>
      </w:r>
      <w:r w:rsidRPr="001E5D9C">
        <w:rPr>
          <w:lang w:val="fr-FR"/>
        </w:rPr>
        <w:fldChar w:fldCharType="end"/>
      </w:r>
      <w:r>
        <w:rPr>
          <w:lang w:val="fr-FR"/>
        </w:rPr>
        <w:t>. </w:t>
      </w:r>
      <w:r w:rsidR="00AA3BA8">
        <w:rPr>
          <w:lang w:val="fr-FR"/>
        </w:rPr>
        <w:t> </w:t>
      </w:r>
      <w:r w:rsidRPr="00273D16">
        <w:rPr>
          <w:lang w:val="fr-FR"/>
        </w:rPr>
        <w:t xml:space="preserve">Dans </w:t>
      </w:r>
      <w:r w:rsidR="006B38ED">
        <w:rPr>
          <w:lang w:val="fr-FR"/>
        </w:rPr>
        <w:t>son appréciation</w:t>
      </w:r>
      <w:r w:rsidR="006B38ED" w:rsidRPr="00273D16">
        <w:rPr>
          <w:lang w:val="fr-FR"/>
        </w:rPr>
        <w:t xml:space="preserve"> </w:t>
      </w:r>
      <w:r w:rsidR="001E34BD" w:rsidRPr="00273D16">
        <w:rPr>
          <w:lang w:val="fr-FR"/>
        </w:rPr>
        <w:t>de l</w:t>
      </w:r>
      <w:r w:rsidR="00603708">
        <w:rPr>
          <w:lang w:val="fr-FR"/>
        </w:rPr>
        <w:t>’</w:t>
      </w:r>
      <w:r w:rsidR="001E34BD" w:rsidRPr="00273D16">
        <w:rPr>
          <w:lang w:val="fr-FR"/>
        </w:rPr>
        <w:t>effectivité de la</w:t>
      </w:r>
      <w:r w:rsidRPr="00273D16">
        <w:rPr>
          <w:lang w:val="fr-FR"/>
        </w:rPr>
        <w:t xml:space="preserve"> voie de recours indiquée par le Gouvernement défendeur</w:t>
      </w:r>
      <w:r w:rsidR="001E34BD" w:rsidRPr="00273D16">
        <w:rPr>
          <w:lang w:val="fr-FR"/>
        </w:rPr>
        <w:t>,</w:t>
      </w:r>
      <w:r w:rsidRPr="00273D16">
        <w:rPr>
          <w:lang w:val="fr-FR"/>
        </w:rPr>
        <w:t xml:space="preserve"> </w:t>
      </w:r>
      <w:r w:rsidR="001E34BD" w:rsidRPr="00273D16">
        <w:rPr>
          <w:lang w:val="fr-FR"/>
        </w:rPr>
        <w:t>l</w:t>
      </w:r>
      <w:r w:rsidRPr="00273D16">
        <w:rPr>
          <w:lang w:val="fr-FR"/>
        </w:rPr>
        <w:t>a Cour doit donc prendre en compte la nature des griefs et les</w:t>
      </w:r>
      <w:r w:rsidR="00AA1E26" w:rsidRPr="00273D16">
        <w:rPr>
          <w:lang w:val="fr-FR"/>
        </w:rPr>
        <w:t xml:space="preserve"> circonstances de l</w:t>
      </w:r>
      <w:r w:rsidR="00603708">
        <w:rPr>
          <w:lang w:val="fr-FR"/>
        </w:rPr>
        <w:t>’</w:t>
      </w:r>
      <w:r w:rsidR="00AA1E26" w:rsidRPr="00273D16">
        <w:rPr>
          <w:lang w:val="fr-FR"/>
        </w:rPr>
        <w:t>affaire</w:t>
      </w:r>
      <w:r w:rsidR="006B38ED">
        <w:rPr>
          <w:lang w:val="fr-FR"/>
        </w:rPr>
        <w:t xml:space="preserve"> pour établir</w:t>
      </w:r>
      <w:r w:rsidR="001E34BD" w:rsidRPr="00273D16">
        <w:rPr>
          <w:lang w:val="fr-FR"/>
        </w:rPr>
        <w:t xml:space="preserve"> si cette voie de recours fournissait </w:t>
      </w:r>
      <w:r w:rsidR="00F24461">
        <w:rPr>
          <w:lang w:val="fr-FR"/>
        </w:rPr>
        <w:t xml:space="preserve">au requérant </w:t>
      </w:r>
      <w:r w:rsidR="001E34BD" w:rsidRPr="00273D16">
        <w:rPr>
          <w:lang w:val="fr-FR"/>
        </w:rPr>
        <w:t xml:space="preserve">un moyen adéquat </w:t>
      </w:r>
      <w:r w:rsidR="006B38ED">
        <w:rPr>
          <w:lang w:val="fr-FR"/>
        </w:rPr>
        <w:t>de</w:t>
      </w:r>
      <w:r w:rsidR="006B38ED" w:rsidRPr="00273D16">
        <w:rPr>
          <w:lang w:val="fr-FR"/>
        </w:rPr>
        <w:t xml:space="preserve"> </w:t>
      </w:r>
      <w:r w:rsidR="001E34BD" w:rsidRPr="00273D16">
        <w:rPr>
          <w:lang w:val="fr-FR"/>
        </w:rPr>
        <w:t>redresse</w:t>
      </w:r>
      <w:r w:rsidR="006B38ED">
        <w:rPr>
          <w:lang w:val="fr-FR"/>
        </w:rPr>
        <w:t>ment de</w:t>
      </w:r>
      <w:r w:rsidR="001E34BD" w:rsidRPr="00273D16">
        <w:rPr>
          <w:lang w:val="fr-FR"/>
        </w:rPr>
        <w:t xml:space="preserve"> la violation </w:t>
      </w:r>
      <w:r w:rsidR="00F24461">
        <w:rPr>
          <w:lang w:val="fr-FR"/>
        </w:rPr>
        <w:t>dénoncée</w:t>
      </w:r>
      <w:r w:rsidR="001E34BD" w:rsidRPr="00273D16">
        <w:rPr>
          <w:lang w:val="fr-FR"/>
        </w:rPr>
        <w:t xml:space="preserve"> (</w:t>
      </w:r>
      <w:r w:rsidRPr="00273D16">
        <w:rPr>
          <w:i/>
          <w:lang w:val="fr-FR"/>
        </w:rPr>
        <w:t>Reshetnyak c. Russie</w:t>
      </w:r>
      <w:r w:rsidRPr="00273D16">
        <w:rPr>
          <w:lang w:val="fr-FR"/>
        </w:rPr>
        <w:t>,</w:t>
      </w:r>
      <w:r w:rsidR="00273D16">
        <w:rPr>
          <w:lang w:val="fr-FR"/>
        </w:rPr>
        <w:t xml:space="preserve"> précité, § 71, </w:t>
      </w:r>
      <w:r w:rsidR="006B38ED">
        <w:rPr>
          <w:lang w:val="fr-FR"/>
        </w:rPr>
        <w:t>concernant le caractère inadéquat d</w:t>
      </w:r>
      <w:r w:rsidR="00603708">
        <w:rPr>
          <w:lang w:val="fr-FR"/>
        </w:rPr>
        <w:t>’</w:t>
      </w:r>
      <w:r w:rsidR="006B38ED">
        <w:rPr>
          <w:lang w:val="fr-FR"/>
        </w:rPr>
        <w:t>un recours indemnitaire en cas de violation continue de l</w:t>
      </w:r>
      <w:r w:rsidR="00603708">
        <w:rPr>
          <w:lang w:val="fr-FR"/>
        </w:rPr>
        <w:t>’</w:t>
      </w:r>
      <w:r w:rsidR="006B38ED">
        <w:rPr>
          <w:lang w:val="fr-FR"/>
        </w:rPr>
        <w:t xml:space="preserve">article 3 à raison des conditions de détention et, en particulier, </w:t>
      </w:r>
      <w:r w:rsidR="00A261A2">
        <w:rPr>
          <w:lang w:val="fr-FR"/>
        </w:rPr>
        <w:t>à</w:t>
      </w:r>
      <w:r w:rsidR="00273D16">
        <w:rPr>
          <w:lang w:val="fr-FR"/>
        </w:rPr>
        <w:t xml:space="preserve"> l</w:t>
      </w:r>
      <w:r w:rsidR="00603708">
        <w:rPr>
          <w:lang w:val="fr-FR"/>
        </w:rPr>
        <w:t>’</w:t>
      </w:r>
      <w:r w:rsidR="00273D16">
        <w:rPr>
          <w:lang w:val="fr-FR"/>
        </w:rPr>
        <w:t>aggrav</w:t>
      </w:r>
      <w:r w:rsidR="00671006">
        <w:rPr>
          <w:lang w:val="fr-FR"/>
        </w:rPr>
        <w:t>ation</w:t>
      </w:r>
      <w:r w:rsidR="00273D16">
        <w:rPr>
          <w:lang w:val="fr-FR"/>
        </w:rPr>
        <w:t xml:space="preserve"> </w:t>
      </w:r>
      <w:r w:rsidR="000465EF">
        <w:rPr>
          <w:lang w:val="fr-FR"/>
        </w:rPr>
        <w:t>de l</w:t>
      </w:r>
      <w:r w:rsidR="00603708">
        <w:rPr>
          <w:lang w:val="fr-FR"/>
        </w:rPr>
        <w:t>’</w:t>
      </w:r>
      <w:r w:rsidR="000465EF">
        <w:rPr>
          <w:lang w:val="fr-FR"/>
        </w:rPr>
        <w:t>état</w:t>
      </w:r>
      <w:r w:rsidR="00273D16">
        <w:rPr>
          <w:lang w:val="fr-FR"/>
        </w:rPr>
        <w:t xml:space="preserve"> de santé du </w:t>
      </w:r>
      <w:r w:rsidR="00E64E41">
        <w:rPr>
          <w:lang w:val="fr-FR"/>
        </w:rPr>
        <w:t>détenu</w:t>
      </w:r>
      <w:r w:rsidR="00273D16">
        <w:rPr>
          <w:lang w:val="fr-FR"/>
        </w:rPr>
        <w:t xml:space="preserve"> ; comparer également </w:t>
      </w:r>
      <w:r w:rsidR="000465EF">
        <w:rPr>
          <w:lang w:val="fr-FR"/>
        </w:rPr>
        <w:t xml:space="preserve">avec </w:t>
      </w:r>
      <w:r w:rsidR="00826B31">
        <w:rPr>
          <w:i/>
          <w:lang w:val="fr-FR"/>
        </w:rPr>
        <w:t>De </w:t>
      </w:r>
      <w:r w:rsidR="00273D16" w:rsidRPr="00273D16">
        <w:rPr>
          <w:i/>
          <w:lang w:val="fr-FR"/>
        </w:rPr>
        <w:t xml:space="preserve">Souza Ribeiro c. France </w:t>
      </w:r>
      <w:r w:rsidR="00273D16" w:rsidRPr="00273D16">
        <w:rPr>
          <w:lang w:val="fr-FR"/>
        </w:rPr>
        <w:t>[GC], n</w:t>
      </w:r>
      <w:r w:rsidR="00273D16" w:rsidRPr="00273D16">
        <w:rPr>
          <w:vertAlign w:val="superscript"/>
          <w:lang w:val="fr-FR"/>
        </w:rPr>
        <w:t>o</w:t>
      </w:r>
      <w:r w:rsidR="00273D16" w:rsidRPr="00273D16">
        <w:rPr>
          <w:lang w:val="fr-FR"/>
        </w:rPr>
        <w:t xml:space="preserve"> 22689/07, §</w:t>
      </w:r>
      <w:r w:rsidR="00273D16">
        <w:rPr>
          <w:lang w:val="fr-FR"/>
        </w:rPr>
        <w:t>§ 82-83</w:t>
      </w:r>
      <w:r w:rsidR="00273D16" w:rsidRPr="00273D16">
        <w:rPr>
          <w:lang w:val="fr-FR"/>
        </w:rPr>
        <w:t>,</w:t>
      </w:r>
      <w:r w:rsidR="00273D16" w:rsidRPr="00273D16">
        <w:rPr>
          <w:snapToGrid w:val="0"/>
          <w:lang w:val="fr-FR"/>
        </w:rPr>
        <w:t xml:space="preserve"> </w:t>
      </w:r>
      <w:r w:rsidR="00273D16" w:rsidRPr="00273D16">
        <w:rPr>
          <w:lang w:val="fr-FR"/>
        </w:rPr>
        <w:t>CEDH 2012</w:t>
      </w:r>
      <w:r w:rsidR="00273D16">
        <w:rPr>
          <w:lang w:val="fr-FR"/>
        </w:rPr>
        <w:t xml:space="preserve">, où la Cour </w:t>
      </w:r>
      <w:r w:rsidR="000465EF">
        <w:rPr>
          <w:lang w:val="fr-FR"/>
        </w:rPr>
        <w:t xml:space="preserve">a </w:t>
      </w:r>
      <w:r w:rsidR="00273D16">
        <w:rPr>
          <w:lang w:val="fr-FR"/>
        </w:rPr>
        <w:t>rappel</w:t>
      </w:r>
      <w:r w:rsidR="000465EF">
        <w:rPr>
          <w:lang w:val="fr-FR"/>
        </w:rPr>
        <w:t>é</w:t>
      </w:r>
      <w:r w:rsidR="00273D16">
        <w:rPr>
          <w:lang w:val="fr-FR"/>
        </w:rPr>
        <w:t xml:space="preserve"> que </w:t>
      </w:r>
      <w:r w:rsidR="00273D16" w:rsidRPr="00273D16">
        <w:rPr>
          <w:rStyle w:val="sb8d990e2"/>
          <w:lang w:val="fr-FR"/>
        </w:rPr>
        <w:t>l</w:t>
      </w:r>
      <w:r w:rsidR="00603708">
        <w:rPr>
          <w:rStyle w:val="sb8d990e2"/>
          <w:lang w:val="fr-FR"/>
        </w:rPr>
        <w:t>’</w:t>
      </w:r>
      <w:r w:rsidR="00273D16" w:rsidRPr="00273D16">
        <w:rPr>
          <w:rStyle w:val="sb8d990e2"/>
          <w:lang w:val="fr-FR"/>
        </w:rPr>
        <w:t>exigence d</w:t>
      </w:r>
      <w:r w:rsidR="00603708">
        <w:rPr>
          <w:rStyle w:val="sb8d990e2"/>
          <w:lang w:val="fr-FR"/>
        </w:rPr>
        <w:t>’</w:t>
      </w:r>
      <w:r w:rsidR="00273D16" w:rsidRPr="00273D16">
        <w:rPr>
          <w:rStyle w:val="sb8d990e2"/>
          <w:lang w:val="fr-FR"/>
        </w:rPr>
        <w:t>un recours de plein droit suspensif contre l</w:t>
      </w:r>
      <w:r w:rsidR="00603708">
        <w:rPr>
          <w:rStyle w:val="sb8d990e2"/>
          <w:lang w:val="fr-FR"/>
        </w:rPr>
        <w:t>’</w:t>
      </w:r>
      <w:r w:rsidR="00273D16" w:rsidRPr="00273D16">
        <w:rPr>
          <w:rStyle w:val="sb8d990e2"/>
          <w:lang w:val="fr-FR"/>
        </w:rPr>
        <w:t>expulsion de l</w:t>
      </w:r>
      <w:r w:rsidR="00603708">
        <w:rPr>
          <w:rStyle w:val="sb8d990e2"/>
          <w:lang w:val="fr-FR"/>
        </w:rPr>
        <w:t>’</w:t>
      </w:r>
      <w:r w:rsidR="00273D16" w:rsidRPr="00273D16">
        <w:rPr>
          <w:rStyle w:val="sb8d990e2"/>
          <w:lang w:val="fr-FR"/>
        </w:rPr>
        <w:t>intéressé dépend</w:t>
      </w:r>
      <w:r w:rsidR="000465EF">
        <w:rPr>
          <w:rStyle w:val="sb8d990e2"/>
          <w:lang w:val="fr-FR"/>
        </w:rPr>
        <w:t>ait</w:t>
      </w:r>
      <w:r w:rsidR="00273D16">
        <w:rPr>
          <w:rStyle w:val="sb8d990e2"/>
          <w:lang w:val="fr-FR"/>
        </w:rPr>
        <w:t xml:space="preserve"> de</w:t>
      </w:r>
      <w:r w:rsidR="00F11224">
        <w:rPr>
          <w:rStyle w:val="sb8d990e2"/>
          <w:lang w:val="fr-FR"/>
        </w:rPr>
        <w:t xml:space="preserve"> la nature de la </w:t>
      </w:r>
      <w:r w:rsidR="00273D16">
        <w:rPr>
          <w:rStyle w:val="sb8d990e2"/>
          <w:lang w:val="fr-FR"/>
        </w:rPr>
        <w:t>violation</w:t>
      </w:r>
      <w:r w:rsidR="00F11224">
        <w:rPr>
          <w:rStyle w:val="sb8d990e2"/>
          <w:lang w:val="fr-FR"/>
        </w:rPr>
        <w:t xml:space="preserve"> de la Convention ou de ses Protocoles </w:t>
      </w:r>
      <w:r w:rsidR="000465EF">
        <w:rPr>
          <w:rStyle w:val="sb8d990e2"/>
          <w:lang w:val="fr-FR"/>
        </w:rPr>
        <w:t>qu</w:t>
      </w:r>
      <w:r w:rsidR="00603708">
        <w:rPr>
          <w:rStyle w:val="sb8d990e2"/>
          <w:lang w:val="fr-FR"/>
        </w:rPr>
        <w:t>’</w:t>
      </w:r>
      <w:r w:rsidR="000465EF">
        <w:rPr>
          <w:rStyle w:val="sb8d990e2"/>
          <w:lang w:val="fr-FR"/>
        </w:rPr>
        <w:t>aurait</w:t>
      </w:r>
      <w:r w:rsidR="00F11224">
        <w:rPr>
          <w:rStyle w:val="sb8d990e2"/>
          <w:lang w:val="fr-FR"/>
        </w:rPr>
        <w:t xml:space="preserve"> entra</w:t>
      </w:r>
      <w:r w:rsidR="00842905">
        <w:rPr>
          <w:rStyle w:val="sb8d990e2"/>
          <w:lang w:val="fr-FR"/>
        </w:rPr>
        <w:t>î</w:t>
      </w:r>
      <w:r w:rsidR="00F11224">
        <w:rPr>
          <w:rStyle w:val="sb8d990e2"/>
          <w:lang w:val="fr-FR"/>
        </w:rPr>
        <w:t>née l</w:t>
      </w:r>
      <w:r w:rsidR="00603708">
        <w:rPr>
          <w:rStyle w:val="sb8d990e2"/>
          <w:lang w:val="fr-FR"/>
        </w:rPr>
        <w:t>’</w:t>
      </w:r>
      <w:r w:rsidR="00F11224">
        <w:rPr>
          <w:rStyle w:val="sb8d990e2"/>
          <w:lang w:val="fr-FR"/>
        </w:rPr>
        <w:t>expulsion</w:t>
      </w:r>
      <w:r w:rsidR="00842905">
        <w:rPr>
          <w:rStyle w:val="sb8d990e2"/>
          <w:lang w:val="fr-FR"/>
        </w:rPr>
        <w:t>)</w:t>
      </w:r>
      <w:r w:rsidR="00F11224">
        <w:rPr>
          <w:rStyle w:val="sb8d990e2"/>
          <w:lang w:val="fr-FR"/>
        </w:rPr>
        <w:t>.</w:t>
      </w:r>
    </w:p>
    <w:p w:rsidR="0032468C" w:rsidRDefault="00F11224" w:rsidP="00F1122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153</w:t>
      </w:r>
      <w:r>
        <w:rPr>
          <w:lang w:val="fr-FR"/>
        </w:rPr>
        <w:fldChar w:fldCharType="end"/>
      </w:r>
      <w:r>
        <w:rPr>
          <w:lang w:val="fr-FR"/>
        </w:rPr>
        <w:t>. </w:t>
      </w:r>
      <w:r w:rsidR="00842905">
        <w:rPr>
          <w:lang w:val="fr-FR"/>
        </w:rPr>
        <w:t> </w:t>
      </w:r>
      <w:r w:rsidRPr="00F11224">
        <w:rPr>
          <w:lang w:val="fr-FR"/>
        </w:rPr>
        <w:t>E</w:t>
      </w:r>
      <w:r w:rsidR="00C85466" w:rsidRPr="00F11224">
        <w:rPr>
          <w:lang w:val="fr-FR"/>
        </w:rPr>
        <w:t>n l</w:t>
      </w:r>
      <w:r w:rsidR="00603708">
        <w:rPr>
          <w:lang w:val="fr-FR"/>
        </w:rPr>
        <w:t>’</w:t>
      </w:r>
      <w:r w:rsidR="00C85466" w:rsidRPr="00F11224">
        <w:rPr>
          <w:lang w:val="fr-FR"/>
        </w:rPr>
        <w:t xml:space="preserve">espèce, la Cour </w:t>
      </w:r>
      <w:r>
        <w:rPr>
          <w:lang w:val="fr-FR"/>
        </w:rPr>
        <w:t>observe que, comme sur le terrain de la perte de la qualité de victime (</w:t>
      </w:r>
      <w:r w:rsidRPr="00AC0DAF">
        <w:rPr>
          <w:lang w:val="fr-FR"/>
        </w:rPr>
        <w:t>paragraphes 131-135</w:t>
      </w:r>
      <w:r w:rsidR="00A261A2" w:rsidRPr="00AC0DAF">
        <w:rPr>
          <w:lang w:val="fr-FR"/>
        </w:rPr>
        <w:t xml:space="preserve"> ci-dessus</w:t>
      </w:r>
      <w:r>
        <w:rPr>
          <w:lang w:val="fr-FR"/>
        </w:rPr>
        <w:t xml:space="preserve">), les thèses des parties </w:t>
      </w:r>
      <w:r w:rsidR="00E01978">
        <w:rPr>
          <w:lang w:val="fr-FR"/>
        </w:rPr>
        <w:t>divergent radicalement</w:t>
      </w:r>
      <w:r>
        <w:rPr>
          <w:lang w:val="fr-FR"/>
        </w:rPr>
        <w:t xml:space="preserve"> quant à l</w:t>
      </w:r>
      <w:r w:rsidR="00603708">
        <w:rPr>
          <w:lang w:val="fr-FR"/>
        </w:rPr>
        <w:t>’</w:t>
      </w:r>
      <w:r>
        <w:rPr>
          <w:lang w:val="fr-FR"/>
        </w:rPr>
        <w:t>étendue des obligations découlant de l</w:t>
      </w:r>
      <w:r w:rsidR="00603708">
        <w:rPr>
          <w:lang w:val="fr-FR"/>
        </w:rPr>
        <w:t>’</w:t>
      </w:r>
      <w:r>
        <w:rPr>
          <w:lang w:val="fr-FR"/>
        </w:rPr>
        <w:t>article 3 de la Convention et aux moyens nécessaires et suffisants pour redresser les violations en cause.</w:t>
      </w:r>
    </w:p>
    <w:p w:rsidR="0032468C" w:rsidRDefault="00E01978" w:rsidP="00F11224">
      <w:pPr>
        <w:pStyle w:val="ECHRPara"/>
        <w:rPr>
          <w:lang w:val="fr-FR"/>
        </w:rPr>
      </w:pPr>
      <w:r>
        <w:rPr>
          <w:lang w:val="fr-FR"/>
        </w:rPr>
        <w:t>Eu égard à sa décision</w:t>
      </w:r>
      <w:r w:rsidR="00C85466" w:rsidRPr="00F11224">
        <w:rPr>
          <w:lang w:val="fr-FR"/>
        </w:rPr>
        <w:t xml:space="preserve"> de joindre au fond la </w:t>
      </w:r>
      <w:r w:rsidR="00F24461">
        <w:rPr>
          <w:lang w:val="fr-FR"/>
        </w:rPr>
        <w:t xml:space="preserve">question de la perte de la </w:t>
      </w:r>
      <w:r w:rsidR="00C85466" w:rsidRPr="00F11224">
        <w:rPr>
          <w:lang w:val="fr-FR"/>
        </w:rPr>
        <w:t>qualité de victime</w:t>
      </w:r>
      <w:r w:rsidR="00F24461">
        <w:rPr>
          <w:lang w:val="fr-FR"/>
        </w:rPr>
        <w:t xml:space="preserve">, </w:t>
      </w:r>
      <w:r w:rsidR="00A261A2">
        <w:rPr>
          <w:lang w:val="fr-FR"/>
        </w:rPr>
        <w:t>la Cour</w:t>
      </w:r>
      <w:r w:rsidR="00F24461">
        <w:rPr>
          <w:lang w:val="fr-FR"/>
        </w:rPr>
        <w:t xml:space="preserve"> estime qu</w:t>
      </w:r>
      <w:r w:rsidR="00603708">
        <w:rPr>
          <w:lang w:val="fr-FR"/>
        </w:rPr>
        <w:t>’</w:t>
      </w:r>
      <w:r w:rsidR="00F24461">
        <w:rPr>
          <w:lang w:val="fr-FR"/>
        </w:rPr>
        <w:t>il doit en aller de même quant au deuxième volet de l</w:t>
      </w:r>
      <w:r w:rsidR="00603708">
        <w:rPr>
          <w:lang w:val="fr-FR"/>
        </w:rPr>
        <w:t>’</w:t>
      </w:r>
      <w:r w:rsidR="00F24461">
        <w:rPr>
          <w:lang w:val="fr-FR"/>
        </w:rPr>
        <w:t>exception de non-épuisement des voies de recours internes.</w:t>
      </w:r>
    </w:p>
    <w:p w:rsidR="00F813C6" w:rsidRPr="00F813C6" w:rsidRDefault="00F813C6" w:rsidP="00F813C6">
      <w:pPr>
        <w:pStyle w:val="ECHRHeading3"/>
        <w:rPr>
          <w:lang w:val="fr-FR"/>
        </w:rPr>
      </w:pPr>
      <w:r>
        <w:rPr>
          <w:lang w:val="fr-FR"/>
        </w:rPr>
        <w:t>3</w:t>
      </w:r>
      <w:r w:rsidRPr="00F813C6">
        <w:rPr>
          <w:lang w:val="fr-FR"/>
        </w:rPr>
        <w:t>. </w:t>
      </w:r>
      <w:r w:rsidR="00842905">
        <w:rPr>
          <w:lang w:val="fr-FR"/>
        </w:rPr>
        <w:t> </w:t>
      </w:r>
      <w:r w:rsidR="002508AF">
        <w:rPr>
          <w:lang w:val="fr-FR"/>
        </w:rPr>
        <w:t>Autres motifs d</w:t>
      </w:r>
      <w:r w:rsidR="00603708">
        <w:rPr>
          <w:lang w:val="fr-FR"/>
        </w:rPr>
        <w:t>’</w:t>
      </w:r>
      <w:r w:rsidR="002508AF">
        <w:rPr>
          <w:lang w:val="fr-FR"/>
        </w:rPr>
        <w:t>irrecevabilité</w:t>
      </w:r>
    </w:p>
    <w:p w:rsidR="00F50A7E" w:rsidRPr="00F813C6" w:rsidRDefault="00F813C6" w:rsidP="008C2E3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154</w:t>
      </w:r>
      <w:r>
        <w:rPr>
          <w:lang w:val="fr-FR"/>
        </w:rPr>
        <w:fldChar w:fldCharType="end"/>
      </w:r>
      <w:r>
        <w:rPr>
          <w:lang w:val="fr-FR"/>
        </w:rPr>
        <w:t>.  </w:t>
      </w:r>
      <w:r w:rsidR="00842905">
        <w:rPr>
          <w:lang w:val="fr-FR"/>
        </w:rPr>
        <w:t>C</w:t>
      </w:r>
      <w:r w:rsidRPr="00F813C6">
        <w:rPr>
          <w:lang w:val="fr-FR"/>
        </w:rPr>
        <w:t>onstat</w:t>
      </w:r>
      <w:r w:rsidR="00842905">
        <w:rPr>
          <w:lang w:val="fr-FR"/>
        </w:rPr>
        <w:t>ant</w:t>
      </w:r>
      <w:r w:rsidRPr="00F813C6">
        <w:rPr>
          <w:lang w:val="fr-FR"/>
        </w:rPr>
        <w:t xml:space="preserve"> que </w:t>
      </w:r>
      <w:r w:rsidRPr="00F813C6">
        <w:rPr>
          <w:rStyle w:val="JuParaCar"/>
          <w:lang w:val="fr-FR"/>
        </w:rPr>
        <w:t xml:space="preserve">ce grief </w:t>
      </w:r>
      <w:r w:rsidRPr="00F813C6">
        <w:rPr>
          <w:lang w:val="fr-FR"/>
        </w:rPr>
        <w:t>n</w:t>
      </w:r>
      <w:r w:rsidR="00603708">
        <w:rPr>
          <w:lang w:val="fr-FR"/>
        </w:rPr>
        <w:t>’</w:t>
      </w:r>
      <w:r w:rsidRPr="00F813C6">
        <w:rPr>
          <w:lang w:val="fr-FR"/>
        </w:rPr>
        <w:t>est pas manifestement mal fondé au sens de l</w:t>
      </w:r>
      <w:r w:rsidR="00603708">
        <w:rPr>
          <w:lang w:val="fr-FR"/>
        </w:rPr>
        <w:t>’</w:t>
      </w:r>
      <w:r w:rsidRPr="00F813C6">
        <w:rPr>
          <w:lang w:val="fr-FR"/>
        </w:rPr>
        <w:t>article 35 § 3 a) de la Convention</w:t>
      </w:r>
      <w:r w:rsidR="00842905">
        <w:rPr>
          <w:lang w:val="fr-FR"/>
        </w:rPr>
        <w:t xml:space="preserve"> et</w:t>
      </w:r>
      <w:r w:rsidRPr="00F813C6">
        <w:rPr>
          <w:lang w:val="fr-FR"/>
        </w:rPr>
        <w:t xml:space="preserve"> qu</w:t>
      </w:r>
      <w:r w:rsidR="00603708">
        <w:rPr>
          <w:lang w:val="fr-FR"/>
        </w:rPr>
        <w:t>’</w:t>
      </w:r>
      <w:r w:rsidRPr="00F813C6">
        <w:rPr>
          <w:lang w:val="fr-FR"/>
        </w:rPr>
        <w:t>il ne se heurte à aucun autre motif d</w:t>
      </w:r>
      <w:r w:rsidR="00603708">
        <w:rPr>
          <w:lang w:val="fr-FR"/>
        </w:rPr>
        <w:t>’</w:t>
      </w:r>
      <w:r w:rsidRPr="00F813C6">
        <w:rPr>
          <w:lang w:val="fr-FR"/>
        </w:rPr>
        <w:t>irrecevabilité</w:t>
      </w:r>
      <w:r w:rsidR="00842905">
        <w:rPr>
          <w:lang w:val="fr-FR"/>
        </w:rPr>
        <w:t>, la Cour</w:t>
      </w:r>
      <w:r w:rsidR="008C2E39">
        <w:rPr>
          <w:lang w:val="fr-FR"/>
        </w:rPr>
        <w:t xml:space="preserve"> le déclare recevable.</w:t>
      </w:r>
    </w:p>
    <w:p w:rsidR="00E77CB3" w:rsidRDefault="00E77CB3" w:rsidP="00E77CB3">
      <w:pPr>
        <w:pStyle w:val="ECHRHeading2"/>
        <w:outlineLvl w:val="0"/>
        <w:rPr>
          <w:lang w:val="fr-FR"/>
        </w:rPr>
      </w:pPr>
      <w:r w:rsidRPr="00C611D8">
        <w:rPr>
          <w:lang w:val="fr-FR"/>
        </w:rPr>
        <w:t>B.  Sur le fond</w:t>
      </w:r>
    </w:p>
    <w:p w:rsidR="0032468C" w:rsidRDefault="00FB61DF" w:rsidP="00FB61DF">
      <w:pPr>
        <w:pStyle w:val="ECHRHeading3"/>
        <w:rPr>
          <w:lang w:val="fr-FR"/>
        </w:rPr>
      </w:pPr>
      <w:r>
        <w:rPr>
          <w:lang w:val="fr-FR"/>
        </w:rPr>
        <w:t>1.</w:t>
      </w:r>
      <w:r w:rsidR="00842905">
        <w:rPr>
          <w:lang w:val="fr-FR"/>
        </w:rPr>
        <w:t>  </w:t>
      </w:r>
      <w:r w:rsidR="008B2F51">
        <w:rPr>
          <w:lang w:val="fr-FR"/>
        </w:rPr>
        <w:t>Sur l</w:t>
      </w:r>
      <w:r w:rsidR="005E1D25">
        <w:rPr>
          <w:lang w:val="fr-FR"/>
        </w:rPr>
        <w:t xml:space="preserve">e </w:t>
      </w:r>
      <w:r w:rsidR="00D00773">
        <w:rPr>
          <w:lang w:val="fr-FR"/>
        </w:rPr>
        <w:t>volet matériel de l</w:t>
      </w:r>
      <w:r w:rsidR="00603708">
        <w:rPr>
          <w:lang w:val="fr-FR"/>
        </w:rPr>
        <w:t>’</w:t>
      </w:r>
      <w:r w:rsidR="005E1D25">
        <w:rPr>
          <w:lang w:val="fr-FR"/>
        </w:rPr>
        <w:t>article 3</w:t>
      </w:r>
      <w:r w:rsidR="00762B68">
        <w:rPr>
          <w:lang w:val="fr-FR"/>
        </w:rPr>
        <w:t xml:space="preserve"> de la Convention</w:t>
      </w:r>
    </w:p>
    <w:p w:rsidR="00406B66" w:rsidRDefault="008B2F51" w:rsidP="008B2F51">
      <w:pPr>
        <w:pStyle w:val="ECHRHeading4"/>
        <w:rPr>
          <w:lang w:val="fr-FR"/>
        </w:rPr>
      </w:pPr>
      <w:r>
        <w:rPr>
          <w:lang w:val="fr-FR"/>
        </w:rPr>
        <w:t>a)</w:t>
      </w:r>
      <w:r w:rsidR="00842905">
        <w:rPr>
          <w:lang w:val="fr-FR"/>
        </w:rPr>
        <w:t>  </w:t>
      </w:r>
      <w:r w:rsidR="00406B66">
        <w:rPr>
          <w:lang w:val="fr-FR"/>
        </w:rPr>
        <w:t>Thèses des parties</w:t>
      </w:r>
    </w:p>
    <w:p w:rsidR="004A51F8" w:rsidRDefault="00406B66" w:rsidP="00406B66">
      <w:pPr>
        <w:pStyle w:val="ECHRHeading5"/>
        <w:rPr>
          <w:lang w:val="fr-FR"/>
        </w:rPr>
      </w:pPr>
      <w:r>
        <w:rPr>
          <w:lang w:val="fr-FR"/>
        </w:rPr>
        <w:t>i.</w:t>
      </w:r>
      <w:r w:rsidR="00842905">
        <w:rPr>
          <w:lang w:val="fr-FR"/>
        </w:rPr>
        <w:t>  </w:t>
      </w:r>
      <w:r w:rsidR="0064461B">
        <w:rPr>
          <w:lang w:val="fr-FR"/>
        </w:rPr>
        <w:t>Le requérant</w:t>
      </w:r>
    </w:p>
    <w:p w:rsidR="0032468C" w:rsidRPr="008D3288" w:rsidRDefault="00091D67" w:rsidP="007B7FB4">
      <w:pPr>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155</w:t>
      </w:r>
      <w:r>
        <w:rPr>
          <w:lang w:val="fr-FR"/>
        </w:rPr>
        <w:fldChar w:fldCharType="end"/>
      </w:r>
      <w:r>
        <w:rPr>
          <w:lang w:val="fr-FR"/>
        </w:rPr>
        <w:t>.  </w:t>
      </w:r>
      <w:r w:rsidR="00A20038">
        <w:rPr>
          <w:lang w:val="fr-FR"/>
        </w:rPr>
        <w:t>L</w:t>
      </w:r>
      <w:r w:rsidR="004A51F8" w:rsidRPr="004A51F8">
        <w:rPr>
          <w:lang w:val="fr-FR"/>
        </w:rPr>
        <w:t>e requérant allègue que, lors de l</w:t>
      </w:r>
      <w:r w:rsidR="00603708">
        <w:rPr>
          <w:lang w:val="fr-FR"/>
        </w:rPr>
        <w:t>’</w:t>
      </w:r>
      <w:r w:rsidR="004A51F8" w:rsidRPr="004A51F8">
        <w:rPr>
          <w:lang w:val="fr-FR"/>
        </w:rPr>
        <w:t>irruption de la police dans l</w:t>
      </w:r>
      <w:r w:rsidR="00603708">
        <w:rPr>
          <w:lang w:val="fr-FR"/>
        </w:rPr>
        <w:t>’</w:t>
      </w:r>
      <w:r w:rsidR="004A51F8" w:rsidRPr="004A51F8">
        <w:rPr>
          <w:lang w:val="fr-FR"/>
        </w:rPr>
        <w:t xml:space="preserve">école Diaz-Pertini, il </w:t>
      </w:r>
      <w:r w:rsidR="006D6556">
        <w:rPr>
          <w:lang w:val="fr-FR"/>
        </w:rPr>
        <w:t>a été</w:t>
      </w:r>
      <w:r w:rsidR="00E908AB" w:rsidRPr="004A51F8">
        <w:rPr>
          <w:lang w:val="fr-FR"/>
        </w:rPr>
        <w:t xml:space="preserve"> injurié</w:t>
      </w:r>
      <w:r w:rsidR="00E908AB">
        <w:rPr>
          <w:lang w:val="fr-FR"/>
        </w:rPr>
        <w:t xml:space="preserve"> et </w:t>
      </w:r>
      <w:r w:rsidR="006D6556">
        <w:rPr>
          <w:lang w:val="fr-FR"/>
        </w:rPr>
        <w:t xml:space="preserve">frappé </w:t>
      </w:r>
      <w:r w:rsidR="00E01978">
        <w:rPr>
          <w:lang w:val="fr-FR"/>
        </w:rPr>
        <w:t>à</w:t>
      </w:r>
      <w:r w:rsidR="004A51F8" w:rsidRPr="004A51F8">
        <w:rPr>
          <w:lang w:val="fr-FR"/>
        </w:rPr>
        <w:t xml:space="preserve"> coups de pied et </w:t>
      </w:r>
      <w:r w:rsidR="00E01978">
        <w:rPr>
          <w:lang w:val="fr-FR"/>
        </w:rPr>
        <w:t xml:space="preserve">de </w:t>
      </w:r>
      <w:r w:rsidR="004A51F8" w:rsidRPr="004A51F8">
        <w:rPr>
          <w:lang w:val="fr-FR"/>
        </w:rPr>
        <w:t>matraque sur</w:t>
      </w:r>
      <w:r w:rsidR="00A20038">
        <w:rPr>
          <w:lang w:val="fr-FR"/>
        </w:rPr>
        <w:t>tout sur</w:t>
      </w:r>
      <w:r w:rsidR="004A51F8" w:rsidRPr="004A51F8">
        <w:rPr>
          <w:lang w:val="fr-FR"/>
        </w:rPr>
        <w:t xml:space="preserve"> la </w:t>
      </w:r>
      <w:r w:rsidR="00A20038" w:rsidRPr="004A51F8">
        <w:rPr>
          <w:lang w:val="fr-FR"/>
        </w:rPr>
        <w:t>tête</w:t>
      </w:r>
      <w:r w:rsidR="004A51F8" w:rsidRPr="004A51F8">
        <w:rPr>
          <w:lang w:val="fr-FR"/>
        </w:rPr>
        <w:t>, les bras et les jambes</w:t>
      </w:r>
      <w:r w:rsidR="00E42A71">
        <w:rPr>
          <w:lang w:val="fr-FR"/>
        </w:rPr>
        <w:t>, qui ont occasionné des blessures nécessitant une hospitalisation de</w:t>
      </w:r>
      <w:r w:rsidR="006D6556">
        <w:rPr>
          <w:lang w:val="fr-FR"/>
        </w:rPr>
        <w:t xml:space="preserve"> </w:t>
      </w:r>
      <w:r w:rsidR="007B7FB4">
        <w:rPr>
          <w:lang w:val="fr-FR"/>
        </w:rPr>
        <w:t>quatre jours</w:t>
      </w:r>
      <w:r w:rsidR="006D6556">
        <w:rPr>
          <w:lang w:val="fr-FR"/>
        </w:rPr>
        <w:t xml:space="preserve"> </w:t>
      </w:r>
      <w:r w:rsidR="009963FF" w:rsidRPr="00730D47">
        <w:rPr>
          <w:lang w:val="fr-FR"/>
        </w:rPr>
        <w:t>à Gênes</w:t>
      </w:r>
      <w:r w:rsidR="00E42A71">
        <w:rPr>
          <w:lang w:val="fr-FR"/>
        </w:rPr>
        <w:t xml:space="preserve"> et, </w:t>
      </w:r>
      <w:r w:rsidR="004B280C">
        <w:rPr>
          <w:lang w:val="fr-FR"/>
        </w:rPr>
        <w:t>notamment,</w:t>
      </w:r>
      <w:r w:rsidR="009963FF">
        <w:rPr>
          <w:lang w:val="fr-FR"/>
        </w:rPr>
        <w:t xml:space="preserve"> </w:t>
      </w:r>
      <w:r w:rsidR="00E42A71">
        <w:rPr>
          <w:lang w:val="fr-FR"/>
        </w:rPr>
        <w:t xml:space="preserve">une </w:t>
      </w:r>
      <w:r w:rsidR="00E42A71" w:rsidRPr="008D3288">
        <w:rPr>
          <w:lang w:val="fr-FR"/>
        </w:rPr>
        <w:t xml:space="preserve">opération </w:t>
      </w:r>
      <w:r w:rsidR="00DD41D1" w:rsidRPr="008D3288">
        <w:rPr>
          <w:lang w:val="fr-FR"/>
        </w:rPr>
        <w:t>au cubitus</w:t>
      </w:r>
      <w:r w:rsidR="009963FF" w:rsidRPr="008D3288">
        <w:rPr>
          <w:lang w:val="fr-FR"/>
        </w:rPr>
        <w:t xml:space="preserve"> droit.</w:t>
      </w:r>
    </w:p>
    <w:p w:rsidR="0032468C" w:rsidRPr="008D3288" w:rsidRDefault="00883A82" w:rsidP="007B7FB4">
      <w:pPr>
        <w:ind w:firstLine="360"/>
        <w:rPr>
          <w:lang w:val="fr-FR"/>
        </w:rPr>
      </w:pPr>
      <w:r>
        <w:rPr>
          <w:rFonts w:cstheme="minorHAnsi"/>
          <w:lang w:val="fr-FR"/>
        </w:rPr>
        <w:t>À</w:t>
      </w:r>
      <w:r w:rsidR="00964C97">
        <w:rPr>
          <w:lang w:val="fr-FR"/>
        </w:rPr>
        <w:t xml:space="preserve"> sa sortie de l</w:t>
      </w:r>
      <w:r w:rsidR="00603708">
        <w:rPr>
          <w:lang w:val="fr-FR"/>
        </w:rPr>
        <w:t>’</w:t>
      </w:r>
      <w:r w:rsidR="00964C97">
        <w:rPr>
          <w:lang w:val="fr-FR"/>
        </w:rPr>
        <w:t>hôpital, il présentait</w:t>
      </w:r>
      <w:r w:rsidR="00DE607F" w:rsidRPr="008D3288">
        <w:rPr>
          <w:lang w:val="fr-FR"/>
        </w:rPr>
        <w:t xml:space="preserve"> </w:t>
      </w:r>
      <w:r w:rsidR="00E908AB" w:rsidRPr="008D3288">
        <w:rPr>
          <w:lang w:val="fr-FR"/>
        </w:rPr>
        <w:t xml:space="preserve">une incapacité de travail </w:t>
      </w:r>
      <w:r w:rsidR="00D534C7" w:rsidRPr="008D3288">
        <w:rPr>
          <w:lang w:val="fr-FR"/>
        </w:rPr>
        <w:t>supérieure à</w:t>
      </w:r>
      <w:r w:rsidR="00E908AB" w:rsidRPr="008D3288">
        <w:rPr>
          <w:lang w:val="fr-FR"/>
        </w:rPr>
        <w:t xml:space="preserve"> quarante jours.</w:t>
      </w:r>
    </w:p>
    <w:p w:rsidR="00603708" w:rsidRDefault="00DB36EB" w:rsidP="004A51F8">
      <w:pPr>
        <w:ind w:firstLine="360"/>
        <w:rPr>
          <w:lang w:val="fr-FR"/>
        </w:rPr>
      </w:pPr>
      <w:r w:rsidRPr="008D3288">
        <w:rPr>
          <w:lang w:val="fr-FR"/>
        </w:rPr>
        <w:t>Il</w:t>
      </w:r>
      <w:r w:rsidR="00091D67" w:rsidRPr="008D3288">
        <w:rPr>
          <w:lang w:val="fr-FR"/>
        </w:rPr>
        <w:t xml:space="preserve"> </w:t>
      </w:r>
      <w:r w:rsidR="006D6556" w:rsidRPr="008D3288">
        <w:rPr>
          <w:lang w:val="fr-FR"/>
        </w:rPr>
        <w:t>précise</w:t>
      </w:r>
      <w:r w:rsidR="00091D67" w:rsidRPr="008D3288">
        <w:rPr>
          <w:lang w:val="fr-FR"/>
        </w:rPr>
        <w:t xml:space="preserve"> </w:t>
      </w:r>
      <w:r w:rsidR="006D6556" w:rsidRPr="008D3288">
        <w:rPr>
          <w:lang w:val="fr-FR"/>
        </w:rPr>
        <w:t>qu</w:t>
      </w:r>
      <w:r w:rsidR="00603708">
        <w:rPr>
          <w:lang w:val="fr-FR"/>
        </w:rPr>
        <w:t>’</w:t>
      </w:r>
      <w:r w:rsidR="006D6556" w:rsidRPr="008D3288">
        <w:rPr>
          <w:lang w:val="fr-FR"/>
        </w:rPr>
        <w:t xml:space="preserve">il a gardé </w:t>
      </w:r>
      <w:r w:rsidR="00091D67" w:rsidRPr="008D3288">
        <w:rPr>
          <w:lang w:val="fr-FR"/>
        </w:rPr>
        <w:t>d</w:t>
      </w:r>
      <w:r w:rsidRPr="008D3288">
        <w:rPr>
          <w:lang w:val="fr-FR"/>
        </w:rPr>
        <w:t>e cette agression</w:t>
      </w:r>
      <w:r w:rsidR="00E908AB" w:rsidRPr="008D3288">
        <w:rPr>
          <w:lang w:val="fr-FR"/>
        </w:rPr>
        <w:t xml:space="preserve"> un</w:t>
      </w:r>
      <w:r w:rsidR="006D6556" w:rsidRPr="008D3288">
        <w:rPr>
          <w:lang w:val="fr-FR"/>
        </w:rPr>
        <w:t>e</w:t>
      </w:r>
      <w:r w:rsidR="00D534C7" w:rsidRPr="008D3288">
        <w:rPr>
          <w:lang w:val="fr-FR"/>
        </w:rPr>
        <w:t xml:space="preserve"> faibl</w:t>
      </w:r>
      <w:r w:rsidR="006D6556" w:rsidRPr="008D3288">
        <w:rPr>
          <w:lang w:val="fr-FR"/>
        </w:rPr>
        <w:t>esse</w:t>
      </w:r>
      <w:r w:rsidR="00D534C7" w:rsidRPr="008D3288">
        <w:rPr>
          <w:lang w:val="fr-FR"/>
        </w:rPr>
        <w:t xml:space="preserve"> </w:t>
      </w:r>
      <w:r w:rsidR="00E908AB" w:rsidRPr="008D3288">
        <w:rPr>
          <w:lang w:val="fr-FR"/>
        </w:rPr>
        <w:t>permanent</w:t>
      </w:r>
      <w:r w:rsidR="006D6556" w:rsidRPr="008D3288">
        <w:rPr>
          <w:lang w:val="fr-FR"/>
        </w:rPr>
        <w:t>e</w:t>
      </w:r>
      <w:r w:rsidR="00E908AB" w:rsidRPr="008D3288">
        <w:rPr>
          <w:lang w:val="fr-FR"/>
        </w:rPr>
        <w:t xml:space="preserve"> du bras </w:t>
      </w:r>
      <w:r w:rsidR="006D6556" w:rsidRPr="008D3288">
        <w:rPr>
          <w:lang w:val="fr-FR"/>
        </w:rPr>
        <w:t xml:space="preserve">droit </w:t>
      </w:r>
      <w:r w:rsidR="00E908AB" w:rsidRPr="008D3288">
        <w:rPr>
          <w:lang w:val="fr-FR"/>
        </w:rPr>
        <w:t>et d</w:t>
      </w:r>
      <w:r w:rsidR="006D6556" w:rsidRPr="008D3288">
        <w:rPr>
          <w:lang w:val="fr-FR"/>
        </w:rPr>
        <w:t>e</w:t>
      </w:r>
      <w:r w:rsidR="00E908AB" w:rsidRPr="008D3288">
        <w:rPr>
          <w:lang w:val="fr-FR"/>
        </w:rPr>
        <w:t xml:space="preserve"> la jambe droit</w:t>
      </w:r>
      <w:r w:rsidR="006D6556" w:rsidRPr="008D3288">
        <w:rPr>
          <w:lang w:val="fr-FR"/>
        </w:rPr>
        <w:t>e</w:t>
      </w:r>
      <w:r w:rsidR="007B7FB4" w:rsidRPr="008D3288">
        <w:rPr>
          <w:lang w:val="fr-FR"/>
        </w:rPr>
        <w:t xml:space="preserve">. </w:t>
      </w:r>
      <w:r w:rsidR="00091D67" w:rsidRPr="008D3288">
        <w:rPr>
          <w:lang w:val="fr-FR"/>
        </w:rPr>
        <w:t>Pièces à l</w:t>
      </w:r>
      <w:r w:rsidR="00603708">
        <w:rPr>
          <w:lang w:val="fr-FR"/>
        </w:rPr>
        <w:t>’</w:t>
      </w:r>
      <w:r w:rsidR="00091D67" w:rsidRPr="008D3288">
        <w:rPr>
          <w:lang w:val="fr-FR"/>
        </w:rPr>
        <w:t>appui, i</w:t>
      </w:r>
      <w:r w:rsidR="007B7FB4" w:rsidRPr="008D3288">
        <w:rPr>
          <w:lang w:val="fr-FR"/>
        </w:rPr>
        <w:t xml:space="preserve">l </w:t>
      </w:r>
      <w:r w:rsidR="00D534C7" w:rsidRPr="008D3288">
        <w:rPr>
          <w:lang w:val="fr-FR"/>
        </w:rPr>
        <w:t>souligne</w:t>
      </w:r>
      <w:r w:rsidR="00091D67" w:rsidRPr="008D3288">
        <w:rPr>
          <w:lang w:val="fr-FR"/>
        </w:rPr>
        <w:t xml:space="preserve"> qu</w:t>
      </w:r>
      <w:r w:rsidR="00603708">
        <w:rPr>
          <w:lang w:val="fr-FR"/>
        </w:rPr>
        <w:t>’</w:t>
      </w:r>
      <w:r w:rsidR="004B280C" w:rsidRPr="008D3288">
        <w:rPr>
          <w:lang w:val="fr-FR"/>
        </w:rPr>
        <w:t>en 20</w:t>
      </w:r>
      <w:r w:rsidR="00F70E11" w:rsidRPr="008D3288">
        <w:rPr>
          <w:lang w:val="fr-FR"/>
        </w:rPr>
        <w:t>0</w:t>
      </w:r>
      <w:r w:rsidR="004B280C" w:rsidRPr="008D3288">
        <w:rPr>
          <w:lang w:val="fr-FR"/>
        </w:rPr>
        <w:t>3 il</w:t>
      </w:r>
      <w:r w:rsidR="00091D67" w:rsidRPr="008D3288">
        <w:rPr>
          <w:lang w:val="fr-FR"/>
        </w:rPr>
        <w:t xml:space="preserve"> </w:t>
      </w:r>
      <w:r w:rsidR="006D6556" w:rsidRPr="008D3288">
        <w:rPr>
          <w:lang w:val="fr-FR"/>
        </w:rPr>
        <w:t>a</w:t>
      </w:r>
      <w:r w:rsidR="006D6556">
        <w:rPr>
          <w:lang w:val="fr-FR"/>
        </w:rPr>
        <w:t xml:space="preserve"> </w:t>
      </w:r>
      <w:r w:rsidR="006D6556" w:rsidRPr="008D3288">
        <w:rPr>
          <w:lang w:val="fr-FR"/>
        </w:rPr>
        <w:t>nécessité une nouvelle opération</w:t>
      </w:r>
      <w:r w:rsidR="007B7FB4" w:rsidRPr="008D3288">
        <w:rPr>
          <w:lang w:val="fr-FR"/>
        </w:rPr>
        <w:t xml:space="preserve"> </w:t>
      </w:r>
      <w:r w:rsidR="00091D67" w:rsidRPr="008D3288">
        <w:rPr>
          <w:lang w:val="fr-FR"/>
        </w:rPr>
        <w:t xml:space="preserve">au cubitus droit car la fracture ne </w:t>
      </w:r>
      <w:r w:rsidR="006D6556" w:rsidRPr="008D3288">
        <w:rPr>
          <w:lang w:val="fr-FR"/>
        </w:rPr>
        <w:t xml:space="preserve">se serait </w:t>
      </w:r>
      <w:r w:rsidR="00091D67" w:rsidRPr="008D3288">
        <w:rPr>
          <w:lang w:val="fr-FR"/>
        </w:rPr>
        <w:t xml:space="preserve">pas </w:t>
      </w:r>
      <w:r w:rsidR="00D534C7" w:rsidRPr="008D3288">
        <w:rPr>
          <w:lang w:val="fr-FR"/>
        </w:rPr>
        <w:t xml:space="preserve">consolidée </w:t>
      </w:r>
      <w:r w:rsidR="00091D67" w:rsidRPr="008D3288">
        <w:rPr>
          <w:lang w:val="fr-FR"/>
        </w:rPr>
        <w:t>et qu</w:t>
      </w:r>
      <w:r w:rsidR="006D6556" w:rsidRPr="008D3288">
        <w:rPr>
          <w:lang w:val="fr-FR"/>
        </w:rPr>
        <w:t xml:space="preserve">e, </w:t>
      </w:r>
      <w:r w:rsidR="00091D67" w:rsidRPr="008D3288">
        <w:rPr>
          <w:lang w:val="fr-FR"/>
        </w:rPr>
        <w:t>en 2010</w:t>
      </w:r>
      <w:r w:rsidR="006D6556" w:rsidRPr="008D3288">
        <w:rPr>
          <w:lang w:val="fr-FR"/>
        </w:rPr>
        <w:t>,</w:t>
      </w:r>
      <w:r w:rsidR="00091D67" w:rsidRPr="008D3288">
        <w:rPr>
          <w:lang w:val="fr-FR"/>
        </w:rPr>
        <w:t xml:space="preserve"> </w:t>
      </w:r>
      <w:r w:rsidR="00DE607F" w:rsidRPr="000B5793">
        <w:rPr>
          <w:lang w:val="fr-FR"/>
        </w:rPr>
        <w:t>une nouvelle opération</w:t>
      </w:r>
      <w:r w:rsidR="00091D67" w:rsidRPr="008D3288">
        <w:rPr>
          <w:lang w:val="fr-FR"/>
        </w:rPr>
        <w:t xml:space="preserve"> lui</w:t>
      </w:r>
      <w:r w:rsidR="006C50EA" w:rsidRPr="008D3288">
        <w:rPr>
          <w:lang w:val="fr-FR"/>
        </w:rPr>
        <w:t xml:space="preserve"> avait</w:t>
      </w:r>
      <w:r w:rsidR="00091D67" w:rsidRPr="008D3288">
        <w:rPr>
          <w:lang w:val="fr-FR"/>
        </w:rPr>
        <w:t xml:space="preserve"> </w:t>
      </w:r>
      <w:r w:rsidR="006C50EA" w:rsidRPr="008D3288">
        <w:rPr>
          <w:lang w:val="fr-FR"/>
        </w:rPr>
        <w:t>été</w:t>
      </w:r>
      <w:r w:rsidR="00091D67" w:rsidRPr="008D3288">
        <w:rPr>
          <w:lang w:val="fr-FR"/>
        </w:rPr>
        <w:t xml:space="preserve"> rec</w:t>
      </w:r>
      <w:r w:rsidR="006C50EA" w:rsidRPr="008D3288">
        <w:rPr>
          <w:lang w:val="fr-FR"/>
        </w:rPr>
        <w:t>ommandée</w:t>
      </w:r>
      <w:r w:rsidR="006D6556" w:rsidRPr="000B5793">
        <w:rPr>
          <w:lang w:val="fr-FR"/>
        </w:rPr>
        <w:t xml:space="preserve"> pour cause de</w:t>
      </w:r>
      <w:r w:rsidR="00091D67" w:rsidRPr="008D3288">
        <w:rPr>
          <w:lang w:val="fr-FR"/>
        </w:rPr>
        <w:t xml:space="preserve"> pseudarthrose </w:t>
      </w:r>
      <w:r w:rsidR="006C50EA" w:rsidRPr="008D3288">
        <w:rPr>
          <w:lang w:val="fr-FR"/>
        </w:rPr>
        <w:t>de cet os</w:t>
      </w:r>
      <w:r w:rsidR="00091D67" w:rsidRPr="008D3288">
        <w:rPr>
          <w:lang w:val="fr-FR"/>
        </w:rPr>
        <w:t>.</w:t>
      </w:r>
    </w:p>
    <w:p w:rsidR="0032468C" w:rsidRPr="008D3288" w:rsidRDefault="006C50EA" w:rsidP="004A51F8">
      <w:pPr>
        <w:ind w:firstLine="360"/>
        <w:rPr>
          <w:lang w:val="fr-FR"/>
        </w:rPr>
      </w:pPr>
      <w:r w:rsidRPr="008D3288">
        <w:rPr>
          <w:lang w:val="fr-FR"/>
        </w:rPr>
        <w:fldChar w:fldCharType="begin"/>
      </w:r>
      <w:r w:rsidRPr="008D3288">
        <w:rPr>
          <w:lang w:val="fr-FR"/>
        </w:rPr>
        <w:instrText xml:space="preserve"> SEQ level0 \*arabic </w:instrText>
      </w:r>
      <w:r w:rsidRPr="008D3288">
        <w:rPr>
          <w:lang w:val="fr-FR"/>
        </w:rPr>
        <w:fldChar w:fldCharType="separate"/>
      </w:r>
      <w:r w:rsidR="00B378F9">
        <w:rPr>
          <w:noProof/>
          <w:lang w:val="fr-FR"/>
        </w:rPr>
        <w:t>156</w:t>
      </w:r>
      <w:r w:rsidRPr="008D3288">
        <w:rPr>
          <w:lang w:val="fr-FR"/>
        </w:rPr>
        <w:fldChar w:fldCharType="end"/>
      </w:r>
      <w:r w:rsidRPr="008D3288">
        <w:rPr>
          <w:lang w:val="fr-FR"/>
        </w:rPr>
        <w:t>.  </w:t>
      </w:r>
      <w:r w:rsidR="00DB36EB" w:rsidRPr="008D3288">
        <w:rPr>
          <w:lang w:val="fr-FR"/>
        </w:rPr>
        <w:t>L</w:t>
      </w:r>
      <w:r w:rsidRPr="008D3288">
        <w:rPr>
          <w:lang w:val="fr-FR"/>
        </w:rPr>
        <w:t xml:space="preserve">e requérant </w:t>
      </w:r>
      <w:r w:rsidR="006D6556" w:rsidRPr="008D3288">
        <w:rPr>
          <w:lang w:val="fr-FR"/>
        </w:rPr>
        <w:t>ajoute</w:t>
      </w:r>
      <w:r w:rsidRPr="008D3288">
        <w:rPr>
          <w:lang w:val="fr-FR"/>
        </w:rPr>
        <w:t xml:space="preserve"> que</w:t>
      </w:r>
      <w:r w:rsidR="006D6556" w:rsidRPr="008D3288">
        <w:rPr>
          <w:lang w:val="fr-FR"/>
        </w:rPr>
        <w:t>,</w:t>
      </w:r>
      <w:r w:rsidRPr="008D3288">
        <w:rPr>
          <w:lang w:val="fr-FR"/>
        </w:rPr>
        <w:t xml:space="preserve"> lors de l</w:t>
      </w:r>
      <w:r w:rsidR="00603708">
        <w:rPr>
          <w:lang w:val="fr-FR"/>
        </w:rPr>
        <w:t>’</w:t>
      </w:r>
      <w:r w:rsidRPr="008D3288">
        <w:rPr>
          <w:lang w:val="fr-FR"/>
        </w:rPr>
        <w:t>irruption de la police</w:t>
      </w:r>
      <w:r w:rsidR="006D6556" w:rsidRPr="008D3288">
        <w:rPr>
          <w:lang w:val="fr-FR"/>
        </w:rPr>
        <w:t>,</w:t>
      </w:r>
      <w:r w:rsidRPr="008D3288">
        <w:rPr>
          <w:lang w:val="fr-FR"/>
        </w:rPr>
        <w:t xml:space="preserve"> il avait</w:t>
      </w:r>
      <w:r w:rsidR="006D6556" w:rsidRPr="008D3288">
        <w:rPr>
          <w:lang w:val="fr-FR"/>
        </w:rPr>
        <w:t>, comme plusieurs autres occupants,</w:t>
      </w:r>
      <w:r w:rsidRPr="008D3288">
        <w:rPr>
          <w:lang w:val="fr-FR"/>
        </w:rPr>
        <w:t xml:space="preserve"> levé les mains en l</w:t>
      </w:r>
      <w:r w:rsidR="00603708">
        <w:rPr>
          <w:lang w:val="fr-FR"/>
        </w:rPr>
        <w:t>’</w:t>
      </w:r>
      <w:r w:rsidRPr="008D3288">
        <w:rPr>
          <w:lang w:val="fr-FR"/>
        </w:rPr>
        <w:t>air en signe de soumission</w:t>
      </w:r>
      <w:r w:rsidR="005D22F4" w:rsidRPr="008D3288">
        <w:rPr>
          <w:lang w:val="fr-FR"/>
        </w:rPr>
        <w:t xml:space="preserve"> et que </w:t>
      </w:r>
      <w:r w:rsidR="006D6556" w:rsidRPr="008D3288">
        <w:rPr>
          <w:lang w:val="fr-FR"/>
        </w:rPr>
        <w:t>cela n</w:t>
      </w:r>
      <w:r w:rsidR="00603708">
        <w:rPr>
          <w:lang w:val="fr-FR"/>
        </w:rPr>
        <w:t>’</w:t>
      </w:r>
      <w:r w:rsidR="006D6556" w:rsidRPr="008D3288">
        <w:rPr>
          <w:lang w:val="fr-FR"/>
        </w:rPr>
        <w:t>avait pas empêché</w:t>
      </w:r>
      <w:r w:rsidR="005D22F4" w:rsidRPr="008D3288">
        <w:rPr>
          <w:lang w:val="fr-FR"/>
        </w:rPr>
        <w:t xml:space="preserve"> les policiers, armés de matraques, </w:t>
      </w:r>
      <w:r w:rsidR="006D6556" w:rsidRPr="008D3288">
        <w:rPr>
          <w:lang w:val="fr-FR"/>
        </w:rPr>
        <w:t xml:space="preserve">de </w:t>
      </w:r>
      <w:r w:rsidR="005D22F4" w:rsidRPr="008D3288">
        <w:rPr>
          <w:lang w:val="fr-FR"/>
        </w:rPr>
        <w:t>frapp</w:t>
      </w:r>
      <w:r w:rsidR="006D6556" w:rsidRPr="008D3288">
        <w:rPr>
          <w:lang w:val="fr-FR"/>
        </w:rPr>
        <w:t>er</w:t>
      </w:r>
      <w:r w:rsidR="005D22F4" w:rsidRPr="008D3288">
        <w:rPr>
          <w:lang w:val="fr-FR"/>
        </w:rPr>
        <w:t xml:space="preserve"> tou</w:t>
      </w:r>
      <w:r w:rsidR="002E1ACF" w:rsidRPr="008D3288">
        <w:rPr>
          <w:lang w:val="fr-FR"/>
        </w:rPr>
        <w:t>tes</w:t>
      </w:r>
      <w:r w:rsidR="005D22F4" w:rsidRPr="008D3288">
        <w:rPr>
          <w:lang w:val="fr-FR"/>
        </w:rPr>
        <w:t xml:space="preserve"> les personnes présentes sur les lieux</w:t>
      </w:r>
      <w:r w:rsidR="002F7326" w:rsidRPr="008D3288">
        <w:rPr>
          <w:lang w:val="fr-FR"/>
        </w:rPr>
        <w:t>.</w:t>
      </w:r>
    </w:p>
    <w:p w:rsidR="0032468C" w:rsidRDefault="002F7326" w:rsidP="004A51F8">
      <w:pPr>
        <w:ind w:firstLine="360"/>
        <w:rPr>
          <w:lang w:val="fr-FR"/>
        </w:rPr>
      </w:pPr>
      <w:r w:rsidRPr="008D3288">
        <w:rPr>
          <w:lang w:val="fr-FR"/>
        </w:rPr>
        <w:t xml:space="preserve">Il </w:t>
      </w:r>
      <w:r w:rsidR="003210D9" w:rsidRPr="008D3288">
        <w:rPr>
          <w:lang w:val="fr-FR"/>
        </w:rPr>
        <w:t>exprime</w:t>
      </w:r>
      <w:r w:rsidR="00D534C7" w:rsidRPr="008D3288">
        <w:rPr>
          <w:lang w:val="fr-FR"/>
        </w:rPr>
        <w:t xml:space="preserve"> </w:t>
      </w:r>
      <w:r w:rsidRPr="008D3288">
        <w:rPr>
          <w:lang w:val="fr-FR"/>
        </w:rPr>
        <w:t>l</w:t>
      </w:r>
      <w:r w:rsidR="00603708">
        <w:rPr>
          <w:lang w:val="fr-FR"/>
        </w:rPr>
        <w:t>’</w:t>
      </w:r>
      <w:r w:rsidRPr="008D3288">
        <w:rPr>
          <w:lang w:val="fr-FR"/>
        </w:rPr>
        <w:t>étonnement et</w:t>
      </w:r>
      <w:r w:rsidR="00433F3E" w:rsidRPr="008D3288">
        <w:rPr>
          <w:lang w:val="fr-FR"/>
        </w:rPr>
        <w:t xml:space="preserve"> </w:t>
      </w:r>
      <w:r w:rsidRPr="008D3288">
        <w:rPr>
          <w:lang w:val="fr-FR"/>
        </w:rPr>
        <w:t>la panique qu</w:t>
      </w:r>
      <w:r w:rsidR="00603708">
        <w:rPr>
          <w:lang w:val="fr-FR"/>
        </w:rPr>
        <w:t>’</w:t>
      </w:r>
      <w:r w:rsidRPr="008D3288">
        <w:rPr>
          <w:lang w:val="fr-FR"/>
        </w:rPr>
        <w:t xml:space="preserve">il avait </w:t>
      </w:r>
      <w:r w:rsidR="00A04B80" w:rsidRPr="008D3288">
        <w:rPr>
          <w:lang w:val="fr-FR"/>
        </w:rPr>
        <w:t>é</w:t>
      </w:r>
      <w:r w:rsidRPr="008D3288">
        <w:rPr>
          <w:lang w:val="fr-FR"/>
        </w:rPr>
        <w:t>prouvé</w:t>
      </w:r>
      <w:r w:rsidR="00433F3E" w:rsidRPr="008D3288">
        <w:rPr>
          <w:lang w:val="fr-FR"/>
        </w:rPr>
        <w:t>s</w:t>
      </w:r>
      <w:r w:rsidRPr="008D3288">
        <w:rPr>
          <w:lang w:val="fr-FR"/>
        </w:rPr>
        <w:t xml:space="preserve"> </w:t>
      </w:r>
      <w:r w:rsidR="003210D9" w:rsidRPr="008D3288">
        <w:rPr>
          <w:lang w:val="fr-FR"/>
        </w:rPr>
        <w:t>au cours de</w:t>
      </w:r>
      <w:r w:rsidR="004B280C">
        <w:rPr>
          <w:lang w:val="fr-FR"/>
        </w:rPr>
        <w:t xml:space="preserve"> </w:t>
      </w:r>
      <w:r>
        <w:rPr>
          <w:lang w:val="fr-FR"/>
        </w:rPr>
        <w:t>ces év</w:t>
      </w:r>
      <w:r w:rsidR="00650C81">
        <w:rPr>
          <w:lang w:val="fr-FR"/>
        </w:rPr>
        <w:t>é</w:t>
      </w:r>
      <w:r>
        <w:rPr>
          <w:lang w:val="fr-FR"/>
        </w:rPr>
        <w:t>nements</w:t>
      </w:r>
      <w:r w:rsidR="00433F3E">
        <w:rPr>
          <w:lang w:val="fr-FR"/>
        </w:rPr>
        <w:t>,</w:t>
      </w:r>
      <w:r>
        <w:rPr>
          <w:lang w:val="fr-FR"/>
        </w:rPr>
        <w:t xml:space="preserve"> car</w:t>
      </w:r>
      <w:r w:rsidR="00DB36EB">
        <w:rPr>
          <w:lang w:val="fr-FR"/>
        </w:rPr>
        <w:t xml:space="preserve">, en tant que citoyen </w:t>
      </w:r>
      <w:r w:rsidR="00433F3E">
        <w:rPr>
          <w:lang w:val="fr-FR"/>
        </w:rPr>
        <w:t xml:space="preserve">ayant </w:t>
      </w:r>
      <w:r w:rsidR="00D534C7">
        <w:rPr>
          <w:lang w:val="fr-FR"/>
        </w:rPr>
        <w:t>un</w:t>
      </w:r>
      <w:r w:rsidR="00DB36EB">
        <w:rPr>
          <w:lang w:val="fr-FR"/>
        </w:rPr>
        <w:t xml:space="preserve"> casier judiciaire vierge,</w:t>
      </w:r>
      <w:r>
        <w:rPr>
          <w:lang w:val="fr-FR"/>
        </w:rPr>
        <w:t xml:space="preserve"> il </w:t>
      </w:r>
      <w:r w:rsidR="00433F3E">
        <w:rPr>
          <w:lang w:val="fr-FR"/>
        </w:rPr>
        <w:t xml:space="preserve">aurait </w:t>
      </w:r>
      <w:r w:rsidR="003210D9">
        <w:rPr>
          <w:lang w:val="fr-FR"/>
        </w:rPr>
        <w:t>considéré que</w:t>
      </w:r>
      <w:r w:rsidR="00433F3E">
        <w:rPr>
          <w:lang w:val="fr-FR"/>
        </w:rPr>
        <w:t xml:space="preserve"> </w:t>
      </w:r>
      <w:r>
        <w:rPr>
          <w:lang w:val="fr-FR"/>
        </w:rPr>
        <w:t>la p</w:t>
      </w:r>
      <w:r w:rsidR="00897330">
        <w:rPr>
          <w:lang w:val="fr-FR"/>
        </w:rPr>
        <w:t xml:space="preserve">olice </w:t>
      </w:r>
      <w:r w:rsidR="003210D9">
        <w:rPr>
          <w:lang w:val="fr-FR"/>
        </w:rPr>
        <w:t>était</w:t>
      </w:r>
      <w:r>
        <w:rPr>
          <w:lang w:val="fr-FR"/>
        </w:rPr>
        <w:t xml:space="preserve"> censée protéger </w:t>
      </w:r>
      <w:r w:rsidR="00E64E41">
        <w:rPr>
          <w:lang w:val="fr-FR"/>
        </w:rPr>
        <w:t xml:space="preserve">les citoyens </w:t>
      </w:r>
      <w:r>
        <w:rPr>
          <w:lang w:val="fr-FR"/>
        </w:rPr>
        <w:t xml:space="preserve">des </w:t>
      </w:r>
      <w:r w:rsidRPr="00433F3E">
        <w:rPr>
          <w:lang w:val="fr-FR"/>
        </w:rPr>
        <w:t>violences d</w:t>
      </w:r>
      <w:r w:rsidR="00603708">
        <w:rPr>
          <w:lang w:val="fr-FR"/>
        </w:rPr>
        <w:t>’</w:t>
      </w:r>
      <w:r w:rsidRPr="00433F3E">
        <w:rPr>
          <w:lang w:val="fr-FR"/>
        </w:rPr>
        <w:t xml:space="preserve">autrui </w:t>
      </w:r>
      <w:r w:rsidR="003210D9">
        <w:rPr>
          <w:lang w:val="fr-FR"/>
        </w:rPr>
        <w:t>et il ne croyait pas celle-ci</w:t>
      </w:r>
      <w:r w:rsidRPr="00433F3E">
        <w:rPr>
          <w:lang w:val="fr-FR"/>
        </w:rPr>
        <w:t xml:space="preserve"> </w:t>
      </w:r>
      <w:r w:rsidR="00D534C7" w:rsidRPr="00433F3E">
        <w:rPr>
          <w:lang w:val="fr-FR"/>
        </w:rPr>
        <w:t>capable d</w:t>
      </w:r>
      <w:r w:rsidR="00603708">
        <w:rPr>
          <w:lang w:val="fr-FR"/>
        </w:rPr>
        <w:t>’</w:t>
      </w:r>
      <w:r w:rsidR="00D534C7" w:rsidRPr="00433F3E">
        <w:rPr>
          <w:lang w:val="fr-FR"/>
        </w:rPr>
        <w:t>infliger de</w:t>
      </w:r>
      <w:r w:rsidR="00433F3E" w:rsidRPr="00433F3E">
        <w:rPr>
          <w:lang w:val="fr-FR"/>
        </w:rPr>
        <w:t>s</w:t>
      </w:r>
      <w:r w:rsidR="00D534C7" w:rsidRPr="00433F3E">
        <w:rPr>
          <w:lang w:val="fr-FR"/>
        </w:rPr>
        <w:t xml:space="preserve"> </w:t>
      </w:r>
      <w:r w:rsidRPr="00433F3E">
        <w:rPr>
          <w:lang w:val="fr-FR"/>
        </w:rPr>
        <w:t>violence</w:t>
      </w:r>
      <w:r w:rsidR="00433F3E" w:rsidRPr="00433F3E">
        <w:rPr>
          <w:lang w:val="fr-FR"/>
        </w:rPr>
        <w:t>s</w:t>
      </w:r>
      <w:r w:rsidRPr="00433F3E">
        <w:rPr>
          <w:lang w:val="fr-FR"/>
        </w:rPr>
        <w:t xml:space="preserve"> à des </w:t>
      </w:r>
      <w:r w:rsidR="00DB36EB" w:rsidRPr="00433F3E">
        <w:rPr>
          <w:lang w:val="fr-FR"/>
        </w:rPr>
        <w:t xml:space="preserve">personnes </w:t>
      </w:r>
      <w:r w:rsidR="00433F3E" w:rsidRPr="00433F3E">
        <w:rPr>
          <w:lang w:val="fr-FR"/>
        </w:rPr>
        <w:t>inoffensives</w:t>
      </w:r>
      <w:r w:rsidRPr="00433F3E">
        <w:rPr>
          <w:lang w:val="fr-FR"/>
        </w:rPr>
        <w:t>.</w:t>
      </w:r>
    </w:p>
    <w:p w:rsidR="0032468C" w:rsidRDefault="00A17461" w:rsidP="004A51F8">
      <w:pPr>
        <w:ind w:firstLine="360"/>
        <w:rPr>
          <w:lang w:val="fr-FR"/>
        </w:rPr>
      </w:pPr>
      <w:r>
        <w:rPr>
          <w:lang w:val="fr-FR"/>
        </w:rPr>
        <w:fldChar w:fldCharType="begin"/>
      </w:r>
      <w:r w:rsidRPr="00F352D1">
        <w:rPr>
          <w:lang w:val="fr-FR"/>
        </w:rPr>
        <w:instrText xml:space="preserve"> SEQ level0 \*arabic </w:instrText>
      </w:r>
      <w:r>
        <w:rPr>
          <w:lang w:val="fr-FR"/>
        </w:rPr>
        <w:fldChar w:fldCharType="separate"/>
      </w:r>
      <w:r w:rsidR="00B378F9">
        <w:rPr>
          <w:noProof/>
          <w:lang w:val="fr-FR"/>
        </w:rPr>
        <w:t>157</w:t>
      </w:r>
      <w:r>
        <w:rPr>
          <w:lang w:val="fr-FR"/>
        </w:rPr>
        <w:fldChar w:fldCharType="end"/>
      </w:r>
      <w:r w:rsidRPr="00F352D1">
        <w:rPr>
          <w:lang w:val="fr-FR"/>
        </w:rPr>
        <w:t>.  </w:t>
      </w:r>
      <w:r w:rsidR="006D69C0">
        <w:rPr>
          <w:lang w:val="fr-FR"/>
        </w:rPr>
        <w:t>S</w:t>
      </w:r>
      <w:r w:rsidR="00603708">
        <w:rPr>
          <w:lang w:val="fr-FR"/>
        </w:rPr>
        <w:t>’</w:t>
      </w:r>
      <w:r w:rsidR="008863C4">
        <w:rPr>
          <w:lang w:val="fr-FR"/>
        </w:rPr>
        <w:t>appuy</w:t>
      </w:r>
      <w:r w:rsidR="006D69C0">
        <w:rPr>
          <w:lang w:val="fr-FR"/>
        </w:rPr>
        <w:t>ant</w:t>
      </w:r>
      <w:r w:rsidR="008863C4">
        <w:rPr>
          <w:lang w:val="fr-FR"/>
        </w:rPr>
        <w:t xml:space="preserve"> sur la </w:t>
      </w:r>
      <w:r w:rsidR="00433F3E">
        <w:rPr>
          <w:lang w:val="fr-FR"/>
        </w:rPr>
        <w:t xml:space="preserve">reconstitution </w:t>
      </w:r>
      <w:r w:rsidR="008863C4">
        <w:rPr>
          <w:lang w:val="fr-FR"/>
        </w:rPr>
        <w:t xml:space="preserve">des faits </w:t>
      </w:r>
      <w:r w:rsidR="00433F3E">
        <w:rPr>
          <w:lang w:val="fr-FR"/>
        </w:rPr>
        <w:t xml:space="preserve">figurant </w:t>
      </w:r>
      <w:r w:rsidR="002F7326">
        <w:rPr>
          <w:lang w:val="fr-FR"/>
        </w:rPr>
        <w:t xml:space="preserve">dans les </w:t>
      </w:r>
      <w:r w:rsidR="008863C4">
        <w:rPr>
          <w:lang w:val="fr-FR"/>
        </w:rPr>
        <w:t xml:space="preserve">décisions de première instance et </w:t>
      </w:r>
      <w:r w:rsidR="00D534C7">
        <w:rPr>
          <w:lang w:val="fr-FR"/>
        </w:rPr>
        <w:t>d</w:t>
      </w:r>
      <w:r w:rsidR="00603708">
        <w:rPr>
          <w:lang w:val="fr-FR"/>
        </w:rPr>
        <w:t>’</w:t>
      </w:r>
      <w:r w:rsidR="008863C4">
        <w:rPr>
          <w:lang w:val="fr-FR"/>
        </w:rPr>
        <w:t xml:space="preserve">appel, </w:t>
      </w:r>
      <w:r w:rsidR="002F7326">
        <w:rPr>
          <w:lang w:val="fr-FR"/>
        </w:rPr>
        <w:t>i</w:t>
      </w:r>
      <w:r>
        <w:rPr>
          <w:lang w:val="fr-FR"/>
        </w:rPr>
        <w:t>l</w:t>
      </w:r>
      <w:r w:rsidR="00F352D1" w:rsidRPr="00F352D1">
        <w:rPr>
          <w:lang w:val="fr-FR"/>
        </w:rPr>
        <w:t xml:space="preserve"> </w:t>
      </w:r>
      <w:r w:rsidR="0045280E">
        <w:rPr>
          <w:lang w:val="fr-FR"/>
        </w:rPr>
        <w:t>expose</w:t>
      </w:r>
      <w:r w:rsidR="00C27678">
        <w:rPr>
          <w:lang w:val="fr-FR"/>
        </w:rPr>
        <w:t xml:space="preserve">, </w:t>
      </w:r>
      <w:r w:rsidR="00433F3E">
        <w:rPr>
          <w:lang w:val="fr-FR"/>
        </w:rPr>
        <w:t xml:space="preserve">de manière </w:t>
      </w:r>
      <w:r w:rsidR="00C27678">
        <w:rPr>
          <w:lang w:val="fr-FR"/>
        </w:rPr>
        <w:t>plus général</w:t>
      </w:r>
      <w:r w:rsidR="00433F3E">
        <w:rPr>
          <w:lang w:val="fr-FR"/>
        </w:rPr>
        <w:t>e</w:t>
      </w:r>
      <w:r w:rsidR="00C27678">
        <w:rPr>
          <w:lang w:val="fr-FR"/>
        </w:rPr>
        <w:t>,</w:t>
      </w:r>
      <w:r w:rsidR="00F352D1">
        <w:rPr>
          <w:lang w:val="fr-FR"/>
        </w:rPr>
        <w:t xml:space="preserve"> que </w:t>
      </w:r>
      <w:r w:rsidR="00103E01">
        <w:rPr>
          <w:lang w:val="fr-FR"/>
        </w:rPr>
        <w:t>l</w:t>
      </w:r>
      <w:r w:rsidR="00603708">
        <w:rPr>
          <w:lang w:val="fr-FR"/>
        </w:rPr>
        <w:t>’</w:t>
      </w:r>
      <w:r w:rsidR="00103E01">
        <w:rPr>
          <w:lang w:val="fr-FR"/>
        </w:rPr>
        <w:t>irruption</w:t>
      </w:r>
      <w:r w:rsidR="00F352D1">
        <w:rPr>
          <w:lang w:val="fr-FR"/>
        </w:rPr>
        <w:t xml:space="preserve"> de la police dans l</w:t>
      </w:r>
      <w:r w:rsidR="00603708">
        <w:rPr>
          <w:lang w:val="fr-FR"/>
        </w:rPr>
        <w:t>’</w:t>
      </w:r>
      <w:r w:rsidR="00F352D1">
        <w:rPr>
          <w:lang w:val="fr-FR"/>
        </w:rPr>
        <w:t xml:space="preserve">école Diaz-Pertini </w:t>
      </w:r>
      <w:r>
        <w:rPr>
          <w:lang w:val="fr-FR"/>
        </w:rPr>
        <w:t>avait été caractérisée d</w:t>
      </w:r>
      <w:r w:rsidR="00D534C7">
        <w:rPr>
          <w:lang w:val="fr-FR"/>
        </w:rPr>
        <w:t>ès</w:t>
      </w:r>
      <w:r w:rsidR="00C27678">
        <w:rPr>
          <w:lang w:val="fr-FR"/>
        </w:rPr>
        <w:t xml:space="preserve"> </w:t>
      </w:r>
      <w:r w:rsidR="00103E01">
        <w:rPr>
          <w:lang w:val="fr-FR"/>
        </w:rPr>
        <w:t>le départ</w:t>
      </w:r>
      <w:r>
        <w:rPr>
          <w:lang w:val="fr-FR"/>
        </w:rPr>
        <w:t xml:space="preserve"> </w:t>
      </w:r>
      <w:r w:rsidR="00C27678">
        <w:rPr>
          <w:lang w:val="fr-FR"/>
        </w:rPr>
        <w:t xml:space="preserve">par une violence </w:t>
      </w:r>
      <w:r w:rsidR="00103E01">
        <w:rPr>
          <w:lang w:val="fr-FR"/>
        </w:rPr>
        <w:t xml:space="preserve">extrême </w:t>
      </w:r>
      <w:r w:rsidR="00C27678">
        <w:rPr>
          <w:lang w:val="fr-FR"/>
        </w:rPr>
        <w:t xml:space="preserve">et injustifiée par rapport aux </w:t>
      </w:r>
      <w:r w:rsidR="00103E01">
        <w:rPr>
          <w:lang w:val="fr-FR"/>
        </w:rPr>
        <w:t xml:space="preserve">prétendus </w:t>
      </w:r>
      <w:r w:rsidR="00C27678">
        <w:rPr>
          <w:lang w:val="fr-FR"/>
        </w:rPr>
        <w:t xml:space="preserve">actes de résistance </w:t>
      </w:r>
      <w:r w:rsidR="00103E01">
        <w:rPr>
          <w:lang w:val="fr-FR"/>
        </w:rPr>
        <w:t>des</w:t>
      </w:r>
      <w:r w:rsidR="00C27678">
        <w:rPr>
          <w:lang w:val="fr-FR"/>
        </w:rPr>
        <w:t xml:space="preserve"> occupants</w:t>
      </w:r>
      <w:r w:rsidR="008863C4">
        <w:rPr>
          <w:lang w:val="fr-FR"/>
        </w:rPr>
        <w:t> :</w:t>
      </w:r>
      <w:r w:rsidR="00C27678">
        <w:rPr>
          <w:lang w:val="fr-FR"/>
        </w:rPr>
        <w:t xml:space="preserve"> </w:t>
      </w:r>
      <w:r w:rsidR="0045280E">
        <w:rPr>
          <w:lang w:val="fr-FR"/>
        </w:rPr>
        <w:t xml:space="preserve">selon lui, </w:t>
      </w:r>
      <w:r w:rsidR="00C27678">
        <w:rPr>
          <w:lang w:val="fr-FR"/>
        </w:rPr>
        <w:t>les policiers avaient attaqué d</w:t>
      </w:r>
      <w:r w:rsidR="00603708">
        <w:rPr>
          <w:lang w:val="fr-FR"/>
        </w:rPr>
        <w:t>’</w:t>
      </w:r>
      <w:r w:rsidR="00C27678">
        <w:rPr>
          <w:lang w:val="fr-FR"/>
        </w:rPr>
        <w:t xml:space="preserve">abord des personnes clairement inoffensives se trouvant </w:t>
      </w:r>
      <w:r w:rsidR="00D534C7">
        <w:rPr>
          <w:lang w:val="fr-FR"/>
        </w:rPr>
        <w:t>à l</w:t>
      </w:r>
      <w:r w:rsidR="00603708">
        <w:rPr>
          <w:lang w:val="fr-FR"/>
        </w:rPr>
        <w:t>’</w:t>
      </w:r>
      <w:r w:rsidR="00D534C7">
        <w:rPr>
          <w:lang w:val="fr-FR"/>
        </w:rPr>
        <w:t>extérieur</w:t>
      </w:r>
      <w:r w:rsidR="00C27678">
        <w:rPr>
          <w:lang w:val="fr-FR"/>
        </w:rPr>
        <w:t xml:space="preserve"> de l</w:t>
      </w:r>
      <w:r w:rsidR="00603708">
        <w:rPr>
          <w:lang w:val="fr-FR"/>
        </w:rPr>
        <w:t>’</w:t>
      </w:r>
      <w:r w:rsidR="00C27678">
        <w:rPr>
          <w:lang w:val="fr-FR"/>
        </w:rPr>
        <w:t>école</w:t>
      </w:r>
      <w:r w:rsidR="0045280E">
        <w:rPr>
          <w:lang w:val="fr-FR"/>
        </w:rPr>
        <w:t>,</w:t>
      </w:r>
      <w:r w:rsidR="00C27678">
        <w:rPr>
          <w:lang w:val="fr-FR"/>
        </w:rPr>
        <w:t xml:space="preserve"> puis tous les occupants de celle-ci, </w:t>
      </w:r>
      <w:r w:rsidR="00D534C7">
        <w:rPr>
          <w:lang w:val="fr-FR"/>
        </w:rPr>
        <w:t xml:space="preserve">en </w:t>
      </w:r>
      <w:r w:rsidR="00C27678">
        <w:rPr>
          <w:lang w:val="fr-FR"/>
        </w:rPr>
        <w:t>dépit de</w:t>
      </w:r>
      <w:r w:rsidR="00D534C7">
        <w:rPr>
          <w:lang w:val="fr-FR"/>
        </w:rPr>
        <w:t>s</w:t>
      </w:r>
      <w:r w:rsidR="00C27678">
        <w:rPr>
          <w:lang w:val="fr-FR"/>
        </w:rPr>
        <w:t xml:space="preserve"> signe</w:t>
      </w:r>
      <w:r w:rsidR="00D534C7">
        <w:rPr>
          <w:lang w:val="fr-FR"/>
        </w:rPr>
        <w:t>s</w:t>
      </w:r>
      <w:r w:rsidR="00C27678">
        <w:rPr>
          <w:lang w:val="fr-FR"/>
        </w:rPr>
        <w:t xml:space="preserve"> de soumission </w:t>
      </w:r>
      <w:r w:rsidR="008863C4">
        <w:rPr>
          <w:lang w:val="fr-FR"/>
        </w:rPr>
        <w:t>de leur part</w:t>
      </w:r>
      <w:r w:rsidR="00C27678">
        <w:rPr>
          <w:lang w:val="fr-FR"/>
        </w:rPr>
        <w:t xml:space="preserve">, </w:t>
      </w:r>
      <w:r w:rsidR="00103E01">
        <w:rPr>
          <w:lang w:val="fr-FR"/>
        </w:rPr>
        <w:t>et qu</w:t>
      </w:r>
      <w:r w:rsidR="00603708">
        <w:rPr>
          <w:lang w:val="fr-FR"/>
        </w:rPr>
        <w:t>’</w:t>
      </w:r>
      <w:r w:rsidR="00103E01">
        <w:rPr>
          <w:lang w:val="fr-FR"/>
        </w:rPr>
        <w:t>ils s</w:t>
      </w:r>
      <w:r w:rsidR="00603708">
        <w:rPr>
          <w:lang w:val="fr-FR"/>
        </w:rPr>
        <w:t>’</w:t>
      </w:r>
      <w:r w:rsidR="00103E01">
        <w:rPr>
          <w:lang w:val="fr-FR"/>
        </w:rPr>
        <w:t xml:space="preserve">étaient </w:t>
      </w:r>
      <w:r w:rsidR="00C27678">
        <w:rPr>
          <w:lang w:val="fr-FR"/>
        </w:rPr>
        <w:t>acharn</w:t>
      </w:r>
      <w:r w:rsidR="00103E01">
        <w:rPr>
          <w:lang w:val="fr-FR"/>
        </w:rPr>
        <w:t>és</w:t>
      </w:r>
      <w:r w:rsidR="00C27678">
        <w:rPr>
          <w:lang w:val="fr-FR"/>
        </w:rPr>
        <w:t xml:space="preserve"> même sur des personnes déjà blessées</w:t>
      </w:r>
      <w:r w:rsidR="008863C4">
        <w:rPr>
          <w:lang w:val="fr-FR"/>
        </w:rPr>
        <w:t>. En outre,</w:t>
      </w:r>
      <w:r w:rsidR="00C27678">
        <w:rPr>
          <w:lang w:val="fr-FR"/>
        </w:rPr>
        <w:t xml:space="preserve"> </w:t>
      </w:r>
      <w:r w:rsidR="008863C4">
        <w:rPr>
          <w:lang w:val="fr-FR"/>
        </w:rPr>
        <w:t>au lieu des matraques ordinaires, les agents a</w:t>
      </w:r>
      <w:r w:rsidR="0045280E">
        <w:rPr>
          <w:lang w:val="fr-FR"/>
        </w:rPr>
        <w:t>ur</w:t>
      </w:r>
      <w:r w:rsidR="008863C4">
        <w:rPr>
          <w:lang w:val="fr-FR"/>
        </w:rPr>
        <w:t xml:space="preserve">aient largement utilisé les matraques du type </w:t>
      </w:r>
      <w:r w:rsidR="008863C4" w:rsidRPr="008863C4">
        <w:rPr>
          <w:i/>
          <w:lang w:val="fr-FR"/>
        </w:rPr>
        <w:t>tonfa</w:t>
      </w:r>
      <w:r w:rsidR="008863C4">
        <w:rPr>
          <w:lang w:val="fr-FR"/>
        </w:rPr>
        <w:t>, dont les coups pouvaient</w:t>
      </w:r>
      <w:r w:rsidR="00103E01">
        <w:rPr>
          <w:lang w:val="fr-FR"/>
        </w:rPr>
        <w:t>, selon lui,</w:t>
      </w:r>
      <w:r w:rsidR="008863C4">
        <w:rPr>
          <w:lang w:val="fr-FR"/>
        </w:rPr>
        <w:t xml:space="preserve"> aisément entra</w:t>
      </w:r>
      <w:r w:rsidR="0045280E">
        <w:rPr>
          <w:lang w:val="fr-FR"/>
        </w:rPr>
        <w:t>î</w:t>
      </w:r>
      <w:r w:rsidR="008863C4">
        <w:rPr>
          <w:lang w:val="fr-FR"/>
        </w:rPr>
        <w:t>ner des fractures</w:t>
      </w:r>
      <w:r w:rsidR="0045280E">
        <w:rPr>
          <w:lang w:val="fr-FR"/>
        </w:rPr>
        <w:t>, voire la mort</w:t>
      </w:r>
      <w:r w:rsidR="008863C4">
        <w:rPr>
          <w:lang w:val="fr-FR"/>
        </w:rPr>
        <w:t>. De</w:t>
      </w:r>
      <w:r w:rsidR="002501C0">
        <w:rPr>
          <w:lang w:val="fr-FR"/>
        </w:rPr>
        <w:t> </w:t>
      </w:r>
      <w:r w:rsidR="008863C4">
        <w:rPr>
          <w:lang w:val="fr-FR"/>
        </w:rPr>
        <w:t>surcro</w:t>
      </w:r>
      <w:r w:rsidR="008863C4">
        <w:rPr>
          <w:rFonts w:cstheme="minorHAnsi"/>
          <w:lang w:val="fr-FR"/>
        </w:rPr>
        <w:t>î</w:t>
      </w:r>
      <w:r w:rsidR="008863C4">
        <w:rPr>
          <w:lang w:val="fr-FR"/>
        </w:rPr>
        <w:t>t, après cette explosion de violence</w:t>
      </w:r>
      <w:r w:rsidR="00D32C3F">
        <w:rPr>
          <w:lang w:val="fr-FR"/>
        </w:rPr>
        <w:t>,</w:t>
      </w:r>
      <w:r w:rsidR="008863C4">
        <w:rPr>
          <w:lang w:val="fr-FR"/>
        </w:rPr>
        <w:t xml:space="preserve"> </w:t>
      </w:r>
      <w:r w:rsidR="00D32C3F">
        <w:rPr>
          <w:lang w:val="fr-FR"/>
        </w:rPr>
        <w:t xml:space="preserve">selon le requérant </w:t>
      </w:r>
      <w:r w:rsidR="008863C4">
        <w:rPr>
          <w:lang w:val="fr-FR"/>
        </w:rPr>
        <w:t>gratuite et indiscriminée, la police a</w:t>
      </w:r>
      <w:r w:rsidR="00D32C3F">
        <w:rPr>
          <w:lang w:val="fr-FR"/>
        </w:rPr>
        <w:t>ur</w:t>
      </w:r>
      <w:r w:rsidR="008863C4">
        <w:rPr>
          <w:lang w:val="fr-FR"/>
        </w:rPr>
        <w:t>ait</w:t>
      </w:r>
      <w:r w:rsidR="00DB36EB">
        <w:rPr>
          <w:lang w:val="fr-FR"/>
        </w:rPr>
        <w:t xml:space="preserve"> arrêté </w:t>
      </w:r>
      <w:r w:rsidR="007D6317">
        <w:rPr>
          <w:lang w:val="fr-FR"/>
        </w:rPr>
        <w:t>illégalement</w:t>
      </w:r>
      <w:r w:rsidR="00DB36EB">
        <w:rPr>
          <w:lang w:val="fr-FR"/>
        </w:rPr>
        <w:t xml:space="preserve"> les occupants de l</w:t>
      </w:r>
      <w:r w:rsidR="00603708">
        <w:rPr>
          <w:lang w:val="fr-FR"/>
        </w:rPr>
        <w:t>’</w:t>
      </w:r>
      <w:r w:rsidR="00DB36EB">
        <w:rPr>
          <w:lang w:val="fr-FR"/>
        </w:rPr>
        <w:t>école Diaz-Pertini et a</w:t>
      </w:r>
      <w:r w:rsidR="00D32C3F">
        <w:rPr>
          <w:lang w:val="fr-FR"/>
        </w:rPr>
        <w:t>ur</w:t>
      </w:r>
      <w:r w:rsidR="00DB36EB">
        <w:rPr>
          <w:lang w:val="fr-FR"/>
        </w:rPr>
        <w:t xml:space="preserve">ait commis </w:t>
      </w:r>
      <w:r w:rsidR="007D6317">
        <w:rPr>
          <w:lang w:val="fr-FR"/>
        </w:rPr>
        <w:t xml:space="preserve">toute </w:t>
      </w:r>
      <w:r w:rsidR="00DB36EB">
        <w:rPr>
          <w:lang w:val="fr-FR"/>
        </w:rPr>
        <w:t xml:space="preserve">une série de délits pour essayer de justifier, </w:t>
      </w:r>
      <w:r w:rsidR="00DB36EB">
        <w:rPr>
          <w:i/>
          <w:lang w:val="fr-FR"/>
        </w:rPr>
        <w:t>a posteriori</w:t>
      </w:r>
      <w:r w:rsidR="00DB36EB">
        <w:rPr>
          <w:lang w:val="fr-FR"/>
        </w:rPr>
        <w:t>, ses agissements.</w:t>
      </w:r>
    </w:p>
    <w:p w:rsidR="00F352D1" w:rsidRPr="0064461B" w:rsidRDefault="0064461B" w:rsidP="0064461B">
      <w:pPr>
        <w:autoSpaceDE w:val="0"/>
        <w:autoSpaceDN w:val="0"/>
        <w:adjustRightInd w:val="0"/>
        <w:ind w:firstLine="284"/>
        <w:rPr>
          <w:szCs w:val="24"/>
          <w:lang w:val="fr-FR" w:eastAsia="en-GB"/>
        </w:rPr>
      </w:pPr>
      <w:r>
        <w:rPr>
          <w:lang w:val="fr-FR"/>
        </w:rPr>
        <w:fldChar w:fldCharType="begin"/>
      </w:r>
      <w:r>
        <w:rPr>
          <w:lang w:val="fr-FR"/>
        </w:rPr>
        <w:instrText xml:space="preserve"> SEQ level0 \*arabic </w:instrText>
      </w:r>
      <w:r>
        <w:rPr>
          <w:lang w:val="fr-FR"/>
        </w:rPr>
        <w:fldChar w:fldCharType="separate"/>
      </w:r>
      <w:r w:rsidR="00B378F9">
        <w:rPr>
          <w:noProof/>
          <w:lang w:val="fr-FR"/>
        </w:rPr>
        <w:t>158</w:t>
      </w:r>
      <w:r>
        <w:rPr>
          <w:lang w:val="fr-FR"/>
        </w:rPr>
        <w:fldChar w:fldCharType="end"/>
      </w:r>
      <w:r>
        <w:rPr>
          <w:lang w:val="fr-FR"/>
        </w:rPr>
        <w:t>.  </w:t>
      </w:r>
      <w:r w:rsidR="00D32C3F">
        <w:rPr>
          <w:lang w:val="fr-FR"/>
        </w:rPr>
        <w:t>Par ailleurs, l</w:t>
      </w:r>
      <w:r>
        <w:rPr>
          <w:lang w:val="fr-FR"/>
        </w:rPr>
        <w:t xml:space="preserve">e requérant allègue avoir été </w:t>
      </w:r>
      <w:r w:rsidRPr="005A3826">
        <w:rPr>
          <w:lang w:val="fr-FR"/>
        </w:rPr>
        <w:t>contraint de reste</w:t>
      </w:r>
      <w:r>
        <w:rPr>
          <w:lang w:val="fr-FR"/>
        </w:rPr>
        <w:t xml:space="preserve">r dans </w:t>
      </w:r>
      <w:r w:rsidR="00D534C7">
        <w:rPr>
          <w:lang w:val="fr-FR"/>
        </w:rPr>
        <w:t xml:space="preserve">des </w:t>
      </w:r>
      <w:r>
        <w:rPr>
          <w:lang w:val="fr-FR"/>
        </w:rPr>
        <w:t>positions humiliantes. I</w:t>
      </w:r>
      <w:r w:rsidRPr="005A3826">
        <w:rPr>
          <w:lang w:val="fr-FR"/>
        </w:rPr>
        <w:t xml:space="preserve">l </w:t>
      </w:r>
      <w:r w:rsidRPr="005A3826">
        <w:rPr>
          <w:szCs w:val="24"/>
          <w:lang w:val="fr-FR" w:eastAsia="en-GB"/>
        </w:rPr>
        <w:t>se plaint</w:t>
      </w:r>
      <w:r>
        <w:rPr>
          <w:szCs w:val="24"/>
          <w:lang w:val="fr-FR" w:eastAsia="en-GB"/>
        </w:rPr>
        <w:t xml:space="preserve"> </w:t>
      </w:r>
      <w:r w:rsidR="00D32C3F">
        <w:rPr>
          <w:szCs w:val="24"/>
          <w:lang w:val="fr-FR" w:eastAsia="en-GB"/>
        </w:rPr>
        <w:t xml:space="preserve">aussi </w:t>
      </w:r>
      <w:r w:rsidRPr="005A3826">
        <w:rPr>
          <w:szCs w:val="24"/>
          <w:lang w:val="fr-FR" w:eastAsia="en-GB"/>
        </w:rPr>
        <w:t xml:space="preserve">de </w:t>
      </w:r>
      <w:r w:rsidR="00D32C3F">
        <w:rPr>
          <w:szCs w:val="24"/>
          <w:lang w:val="fr-FR" w:eastAsia="en-GB"/>
        </w:rPr>
        <w:t>ne pas avoir</w:t>
      </w:r>
      <w:r w:rsidRPr="005A3826">
        <w:rPr>
          <w:szCs w:val="24"/>
          <w:lang w:val="fr-FR" w:eastAsia="en-GB"/>
        </w:rPr>
        <w:t xml:space="preserve"> pu prendre contact avec un avocat </w:t>
      </w:r>
      <w:r w:rsidR="00D534C7">
        <w:rPr>
          <w:szCs w:val="24"/>
          <w:lang w:val="fr-FR" w:eastAsia="en-GB"/>
        </w:rPr>
        <w:t>o</w:t>
      </w:r>
      <w:r w:rsidRPr="005A3826">
        <w:rPr>
          <w:szCs w:val="24"/>
          <w:lang w:val="fr-FR" w:eastAsia="en-GB"/>
        </w:rPr>
        <w:t xml:space="preserve">u </w:t>
      </w:r>
      <w:r w:rsidRPr="005A3826">
        <w:rPr>
          <w:color w:val="000000"/>
          <w:szCs w:val="24"/>
          <w:lang w:val="fr-FR" w:eastAsia="en-GB"/>
        </w:rPr>
        <w:t>une personne de confiance</w:t>
      </w:r>
      <w:r>
        <w:rPr>
          <w:color w:val="000000"/>
          <w:szCs w:val="24"/>
          <w:lang w:val="fr-FR" w:eastAsia="en-GB"/>
        </w:rPr>
        <w:t>. Enfin,</w:t>
      </w:r>
      <w:r w:rsidRPr="005A3826">
        <w:rPr>
          <w:color w:val="000000"/>
          <w:szCs w:val="24"/>
          <w:lang w:val="fr-FR" w:eastAsia="en-GB"/>
        </w:rPr>
        <w:t xml:space="preserve"> il dénonce l</w:t>
      </w:r>
      <w:r w:rsidR="00603708">
        <w:rPr>
          <w:color w:val="000000"/>
          <w:szCs w:val="24"/>
          <w:lang w:val="fr-FR" w:eastAsia="en-GB"/>
        </w:rPr>
        <w:t>’</w:t>
      </w:r>
      <w:r w:rsidRPr="005A3826">
        <w:rPr>
          <w:color w:val="000000"/>
          <w:szCs w:val="24"/>
          <w:lang w:val="fr-FR" w:eastAsia="en-GB"/>
        </w:rPr>
        <w:t>absence</w:t>
      </w:r>
      <w:r w:rsidRPr="005A3826">
        <w:rPr>
          <w:szCs w:val="24"/>
          <w:lang w:val="fr-FR" w:eastAsia="en-GB"/>
        </w:rPr>
        <w:t xml:space="preserve"> de soins adéquats en temps utile et la présence d</w:t>
      </w:r>
      <w:r w:rsidR="00603708">
        <w:rPr>
          <w:szCs w:val="24"/>
          <w:lang w:val="fr-FR" w:eastAsia="en-GB"/>
        </w:rPr>
        <w:t>’</w:t>
      </w:r>
      <w:r w:rsidRPr="005A3826">
        <w:rPr>
          <w:szCs w:val="24"/>
          <w:lang w:val="fr-FR" w:eastAsia="en-GB"/>
        </w:rPr>
        <w:t>agents des forces de l</w:t>
      </w:r>
      <w:r w:rsidR="00603708">
        <w:rPr>
          <w:szCs w:val="24"/>
          <w:lang w:val="fr-FR" w:eastAsia="en-GB"/>
        </w:rPr>
        <w:t>’</w:t>
      </w:r>
      <w:r>
        <w:rPr>
          <w:szCs w:val="24"/>
          <w:lang w:val="fr-FR" w:eastAsia="en-GB"/>
        </w:rPr>
        <w:t xml:space="preserve">ordre pendant son </w:t>
      </w:r>
      <w:r w:rsidRPr="005A3826">
        <w:rPr>
          <w:szCs w:val="24"/>
          <w:lang w:val="fr-FR" w:eastAsia="en-GB"/>
        </w:rPr>
        <w:t>examen médical.</w:t>
      </w:r>
    </w:p>
    <w:p w:rsidR="0064461B" w:rsidRDefault="00DB36EB" w:rsidP="0064461B">
      <w:pPr>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159</w:t>
      </w:r>
      <w:r>
        <w:rPr>
          <w:lang w:val="fr-FR"/>
        </w:rPr>
        <w:fldChar w:fldCharType="end"/>
      </w:r>
      <w:r>
        <w:rPr>
          <w:lang w:val="fr-FR"/>
        </w:rPr>
        <w:t>.  </w:t>
      </w:r>
      <w:r w:rsidR="009E6C14">
        <w:rPr>
          <w:lang w:val="fr-FR"/>
        </w:rPr>
        <w:t>Eu égard à</w:t>
      </w:r>
      <w:r>
        <w:rPr>
          <w:lang w:val="fr-FR"/>
        </w:rPr>
        <w:t xml:space="preserve"> ce qui précède, le</w:t>
      </w:r>
      <w:r w:rsidR="008121B4">
        <w:rPr>
          <w:lang w:val="fr-FR"/>
        </w:rPr>
        <w:t xml:space="preserve"> </w:t>
      </w:r>
      <w:r w:rsidR="007D6317">
        <w:rPr>
          <w:lang w:val="fr-FR"/>
        </w:rPr>
        <w:t>requérant</w:t>
      </w:r>
      <w:r>
        <w:rPr>
          <w:lang w:val="fr-FR"/>
        </w:rPr>
        <w:t xml:space="preserve"> estime </w:t>
      </w:r>
      <w:r w:rsidR="00A97567">
        <w:rPr>
          <w:lang w:val="fr-FR"/>
        </w:rPr>
        <w:t>avoir été victime d</w:t>
      </w:r>
      <w:r w:rsidR="00603708">
        <w:rPr>
          <w:lang w:val="fr-FR"/>
        </w:rPr>
        <w:t>’</w:t>
      </w:r>
      <w:r w:rsidR="00A97567">
        <w:rPr>
          <w:lang w:val="fr-FR"/>
        </w:rPr>
        <w:t xml:space="preserve">actes de torture </w:t>
      </w:r>
      <w:r>
        <w:rPr>
          <w:lang w:val="fr-FR"/>
        </w:rPr>
        <w:t>au</w:t>
      </w:r>
      <w:r w:rsidR="00D32C3F">
        <w:rPr>
          <w:lang w:val="fr-FR"/>
        </w:rPr>
        <w:t xml:space="preserve"> sens </w:t>
      </w:r>
      <w:r>
        <w:rPr>
          <w:lang w:val="fr-FR"/>
        </w:rPr>
        <w:t>de l</w:t>
      </w:r>
      <w:r w:rsidR="00603708">
        <w:rPr>
          <w:lang w:val="fr-FR"/>
        </w:rPr>
        <w:t>’</w:t>
      </w:r>
      <w:r>
        <w:rPr>
          <w:lang w:val="fr-FR"/>
        </w:rPr>
        <w:t>article 3 de la Convention.</w:t>
      </w:r>
    </w:p>
    <w:p w:rsidR="0064461B" w:rsidRDefault="00406B66" w:rsidP="00406B66">
      <w:pPr>
        <w:pStyle w:val="ECHRHeading5"/>
        <w:rPr>
          <w:lang w:val="fr-FR"/>
        </w:rPr>
      </w:pPr>
      <w:r>
        <w:rPr>
          <w:lang w:val="fr-FR"/>
        </w:rPr>
        <w:t>ii.</w:t>
      </w:r>
      <w:r w:rsidR="00433F3E">
        <w:rPr>
          <w:lang w:val="fr-FR"/>
        </w:rPr>
        <w:t>  </w:t>
      </w:r>
      <w:r w:rsidR="0064461B">
        <w:rPr>
          <w:lang w:val="fr-FR"/>
        </w:rPr>
        <w:t>Le Gouvernement</w:t>
      </w:r>
    </w:p>
    <w:p w:rsidR="0032468C" w:rsidRDefault="00DB36EB" w:rsidP="0032468C">
      <w:pPr>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160</w:t>
      </w:r>
      <w:r>
        <w:rPr>
          <w:lang w:val="fr-FR"/>
        </w:rPr>
        <w:fldChar w:fldCharType="end"/>
      </w:r>
      <w:r>
        <w:rPr>
          <w:lang w:val="fr-FR"/>
        </w:rPr>
        <w:t>.  </w:t>
      </w:r>
      <w:r w:rsidR="00B8444A">
        <w:rPr>
          <w:lang w:val="fr-FR"/>
        </w:rPr>
        <w:t>Le Gouvernement</w:t>
      </w:r>
      <w:r w:rsidR="00670E20">
        <w:rPr>
          <w:lang w:val="fr-FR"/>
        </w:rPr>
        <w:t xml:space="preserve"> </w:t>
      </w:r>
      <w:r w:rsidR="006E02EE">
        <w:rPr>
          <w:lang w:val="fr-FR"/>
        </w:rPr>
        <w:t xml:space="preserve">assure </w:t>
      </w:r>
      <w:r w:rsidR="00A11F65">
        <w:rPr>
          <w:lang w:val="fr-FR"/>
        </w:rPr>
        <w:t>qu</w:t>
      </w:r>
      <w:r w:rsidR="00603708">
        <w:rPr>
          <w:lang w:val="fr-FR"/>
        </w:rPr>
        <w:t>’</w:t>
      </w:r>
      <w:r w:rsidR="00A11F65">
        <w:rPr>
          <w:lang w:val="fr-FR"/>
        </w:rPr>
        <w:t xml:space="preserve">il ne souhaite </w:t>
      </w:r>
      <w:r w:rsidR="00C64547">
        <w:rPr>
          <w:lang w:val="fr-FR"/>
        </w:rPr>
        <w:t>p</w:t>
      </w:r>
      <w:r w:rsidR="006E02EE">
        <w:rPr>
          <w:lang w:val="fr-FR"/>
        </w:rPr>
        <w:t>as</w:t>
      </w:r>
      <w:r w:rsidR="00C64547">
        <w:rPr>
          <w:lang w:val="fr-FR"/>
        </w:rPr>
        <w:t xml:space="preserve"> « </w:t>
      </w:r>
      <w:r w:rsidR="00465ADE">
        <w:rPr>
          <w:lang w:val="fr-FR"/>
        </w:rPr>
        <w:t>minimiser</w:t>
      </w:r>
      <w:r w:rsidR="00C64547">
        <w:rPr>
          <w:lang w:val="fr-FR"/>
        </w:rPr>
        <w:t xml:space="preserve"> ou sous-évaluer</w:t>
      </w:r>
      <w:r w:rsidR="00A11F65">
        <w:rPr>
          <w:lang w:val="fr-FR"/>
        </w:rPr>
        <w:t xml:space="preserve"> la gravité des épisodes</w:t>
      </w:r>
      <w:r w:rsidR="00670E20">
        <w:rPr>
          <w:lang w:val="fr-FR"/>
        </w:rPr>
        <w:t> »</w:t>
      </w:r>
      <w:r w:rsidR="00A11F65">
        <w:rPr>
          <w:lang w:val="fr-FR"/>
        </w:rPr>
        <w:t xml:space="preserve"> qui se sont </w:t>
      </w:r>
      <w:r w:rsidR="00670E20">
        <w:rPr>
          <w:lang w:val="fr-FR"/>
        </w:rPr>
        <w:t>produits</w:t>
      </w:r>
      <w:r w:rsidR="00A11F65">
        <w:rPr>
          <w:lang w:val="fr-FR"/>
        </w:rPr>
        <w:t xml:space="preserve"> dans l</w:t>
      </w:r>
      <w:r w:rsidR="00603708">
        <w:rPr>
          <w:lang w:val="fr-FR"/>
        </w:rPr>
        <w:t>’</w:t>
      </w:r>
      <w:r w:rsidR="00A11F65">
        <w:rPr>
          <w:lang w:val="fr-FR"/>
        </w:rPr>
        <w:t>école Diaz</w:t>
      </w:r>
      <w:r w:rsidR="00670E20">
        <w:rPr>
          <w:lang w:val="fr-FR"/>
        </w:rPr>
        <w:t xml:space="preserve">-Pertini </w:t>
      </w:r>
      <w:r w:rsidR="00A11F65">
        <w:rPr>
          <w:lang w:val="fr-FR"/>
        </w:rPr>
        <w:t>dans la nuit du 21 au 22 juillet</w:t>
      </w:r>
      <w:r w:rsidR="00670E20">
        <w:rPr>
          <w:lang w:val="fr-FR"/>
        </w:rPr>
        <w:t xml:space="preserve"> 2001</w:t>
      </w:r>
      <w:r w:rsidR="00A11F65">
        <w:rPr>
          <w:lang w:val="fr-FR"/>
        </w:rPr>
        <w:t>.</w:t>
      </w:r>
      <w:r w:rsidR="00670E20">
        <w:rPr>
          <w:lang w:val="fr-FR"/>
        </w:rPr>
        <w:t xml:space="preserve"> Il </w:t>
      </w:r>
      <w:r w:rsidR="006E02EE">
        <w:rPr>
          <w:lang w:val="fr-FR"/>
        </w:rPr>
        <w:t>reconnaît qu</w:t>
      </w:r>
      <w:r w:rsidR="00603708">
        <w:rPr>
          <w:lang w:val="fr-FR"/>
        </w:rPr>
        <w:t>’</w:t>
      </w:r>
      <w:r w:rsidR="006E02EE">
        <w:rPr>
          <w:lang w:val="fr-FR"/>
        </w:rPr>
        <w:t xml:space="preserve">il </w:t>
      </w:r>
      <w:r w:rsidR="00670E20">
        <w:rPr>
          <w:lang w:val="fr-FR"/>
        </w:rPr>
        <w:t>s</w:t>
      </w:r>
      <w:r w:rsidR="00603708">
        <w:rPr>
          <w:lang w:val="fr-FR"/>
        </w:rPr>
        <w:t>’</w:t>
      </w:r>
      <w:r w:rsidR="00670E20">
        <w:rPr>
          <w:lang w:val="fr-FR"/>
        </w:rPr>
        <w:t>agit d</w:t>
      </w:r>
      <w:r w:rsidR="00603708">
        <w:rPr>
          <w:lang w:val="fr-FR"/>
        </w:rPr>
        <w:t>’</w:t>
      </w:r>
      <w:r w:rsidR="00670E20">
        <w:rPr>
          <w:lang w:val="fr-FR"/>
        </w:rPr>
        <w:t xml:space="preserve">actes « très graves et déplorables commis par des agents de police, constitutifs de plusieurs infractions pénales, </w:t>
      </w:r>
      <w:r w:rsidR="009E6C14">
        <w:rPr>
          <w:lang w:val="fr-FR"/>
        </w:rPr>
        <w:t>aux</w:t>
      </w:r>
      <w:r w:rsidR="00670E20">
        <w:rPr>
          <w:lang w:val="fr-FR"/>
        </w:rPr>
        <w:t xml:space="preserve">quels les juridictions italiennes ont rapidement réagi </w:t>
      </w:r>
      <w:r w:rsidR="009E6C14">
        <w:rPr>
          <w:lang w:val="fr-FR"/>
        </w:rPr>
        <w:t xml:space="preserve">afin de </w:t>
      </w:r>
      <w:r w:rsidR="00670E20">
        <w:rPr>
          <w:lang w:val="fr-FR"/>
        </w:rPr>
        <w:t>rétablir le respect de la primauté du droit que ces év</w:t>
      </w:r>
      <w:r w:rsidR="00650C81">
        <w:rPr>
          <w:lang w:val="fr-FR"/>
        </w:rPr>
        <w:t>é</w:t>
      </w:r>
      <w:r w:rsidR="00670E20">
        <w:rPr>
          <w:lang w:val="fr-FR"/>
        </w:rPr>
        <w:t xml:space="preserve">nements avaient </w:t>
      </w:r>
      <w:r w:rsidR="009E6C14">
        <w:rPr>
          <w:lang w:val="fr-FR"/>
        </w:rPr>
        <w:t>bafoué </w:t>
      </w:r>
      <w:r w:rsidR="00C64547">
        <w:rPr>
          <w:lang w:val="fr-FR"/>
        </w:rPr>
        <w:t>»</w:t>
      </w:r>
      <w:r w:rsidR="00670E20">
        <w:rPr>
          <w:lang w:val="fr-FR"/>
        </w:rPr>
        <w:t>.</w:t>
      </w:r>
    </w:p>
    <w:p w:rsidR="004179B9" w:rsidRDefault="008121B4" w:rsidP="00A11F65">
      <w:pPr>
        <w:ind w:firstLine="360"/>
        <w:rPr>
          <w:lang w:val="fr-FR"/>
        </w:rPr>
      </w:pPr>
      <w:r>
        <w:rPr>
          <w:rFonts w:cstheme="minorHAnsi"/>
          <w:lang w:val="fr-FR"/>
        </w:rPr>
        <w:fldChar w:fldCharType="begin"/>
      </w:r>
      <w:r>
        <w:rPr>
          <w:rFonts w:cstheme="minorHAnsi"/>
          <w:lang w:val="fr-FR"/>
        </w:rPr>
        <w:instrText xml:space="preserve"> SEQ level0 \*arabic </w:instrText>
      </w:r>
      <w:r>
        <w:rPr>
          <w:rFonts w:cstheme="minorHAnsi"/>
          <w:lang w:val="fr-FR"/>
        </w:rPr>
        <w:fldChar w:fldCharType="separate"/>
      </w:r>
      <w:r w:rsidR="00B378F9">
        <w:rPr>
          <w:rFonts w:cstheme="minorHAnsi"/>
          <w:noProof/>
          <w:lang w:val="fr-FR"/>
        </w:rPr>
        <w:t>161</w:t>
      </w:r>
      <w:r>
        <w:rPr>
          <w:rFonts w:cstheme="minorHAnsi"/>
          <w:lang w:val="fr-FR"/>
        </w:rPr>
        <w:fldChar w:fldCharType="end"/>
      </w:r>
      <w:r>
        <w:rPr>
          <w:rFonts w:cstheme="minorHAnsi"/>
          <w:lang w:val="fr-FR"/>
        </w:rPr>
        <w:t>.  </w:t>
      </w:r>
      <w:r w:rsidR="00D534C7">
        <w:rPr>
          <w:rFonts w:cstheme="minorHAnsi"/>
          <w:lang w:val="fr-FR"/>
        </w:rPr>
        <w:t>En gage</w:t>
      </w:r>
      <w:r w:rsidR="004179B9">
        <w:rPr>
          <w:lang w:val="fr-FR"/>
        </w:rPr>
        <w:t xml:space="preserve"> </w:t>
      </w:r>
      <w:r w:rsidR="00A97567">
        <w:rPr>
          <w:lang w:val="fr-FR"/>
        </w:rPr>
        <w:t>de la</w:t>
      </w:r>
      <w:r w:rsidR="006E02EE">
        <w:rPr>
          <w:lang w:val="fr-FR"/>
        </w:rPr>
        <w:t xml:space="preserve"> </w:t>
      </w:r>
      <w:r w:rsidR="00A97567">
        <w:rPr>
          <w:lang w:val="fr-FR"/>
        </w:rPr>
        <w:t>« complète reconnaissance par l</w:t>
      </w:r>
      <w:r w:rsidR="00603708">
        <w:rPr>
          <w:lang w:val="fr-FR"/>
        </w:rPr>
        <w:t>’</w:t>
      </w:r>
      <w:r w:rsidR="00A97567">
        <w:rPr>
          <w:lang w:val="fr-FR"/>
        </w:rPr>
        <w:t>Italie d</w:t>
      </w:r>
      <w:r>
        <w:rPr>
          <w:lang w:val="fr-FR"/>
        </w:rPr>
        <w:t xml:space="preserve">es </w:t>
      </w:r>
      <w:r w:rsidR="004179B9">
        <w:rPr>
          <w:lang w:val="fr-FR"/>
        </w:rPr>
        <w:t xml:space="preserve">violations </w:t>
      </w:r>
      <w:r w:rsidR="009F7CB6">
        <w:rPr>
          <w:lang w:val="fr-FR"/>
        </w:rPr>
        <w:t xml:space="preserve">des droits </w:t>
      </w:r>
      <w:r w:rsidR="001B07E6">
        <w:rPr>
          <w:lang w:val="fr-FR"/>
        </w:rPr>
        <w:t>perpétrées</w:t>
      </w:r>
      <w:r w:rsidR="00465ADE">
        <w:rPr>
          <w:lang w:val="fr-FR"/>
        </w:rPr>
        <w:t> </w:t>
      </w:r>
      <w:r w:rsidR="00A97567">
        <w:rPr>
          <w:lang w:val="fr-FR"/>
        </w:rPr>
        <w:t>»</w:t>
      </w:r>
      <w:r w:rsidR="004179B9">
        <w:rPr>
          <w:lang w:val="fr-FR"/>
        </w:rPr>
        <w:t>, le</w:t>
      </w:r>
      <w:r w:rsidR="00465ADE">
        <w:rPr>
          <w:lang w:val="fr-FR"/>
        </w:rPr>
        <w:t xml:space="preserve"> </w:t>
      </w:r>
      <w:r w:rsidR="004179B9">
        <w:rPr>
          <w:lang w:val="fr-FR"/>
        </w:rPr>
        <w:t xml:space="preserve">Gouvernent affirme souscrire « au jugement des </w:t>
      </w:r>
      <w:r w:rsidR="001B07E6">
        <w:rPr>
          <w:lang w:val="fr-FR"/>
        </w:rPr>
        <w:t>juridictions</w:t>
      </w:r>
      <w:r w:rsidR="004179B9">
        <w:rPr>
          <w:lang w:val="fr-FR"/>
        </w:rPr>
        <w:t xml:space="preserve"> nationales</w:t>
      </w:r>
      <w:r w:rsidR="009E6C14">
        <w:rPr>
          <w:lang w:val="fr-FR"/>
        </w:rPr>
        <w:t>,</w:t>
      </w:r>
      <w:r w:rsidR="004179B9">
        <w:rPr>
          <w:lang w:val="fr-FR"/>
        </w:rPr>
        <w:t xml:space="preserve"> qui ont très durement stigmatisé le comportement des agents de police</w:t>
      </w:r>
      <w:r w:rsidR="001B07E6">
        <w:rPr>
          <w:lang w:val="fr-FR"/>
        </w:rPr>
        <w:t> »</w:t>
      </w:r>
      <w:r w:rsidR="004179B9">
        <w:rPr>
          <w:lang w:val="fr-FR"/>
        </w:rPr>
        <w:t xml:space="preserve"> </w:t>
      </w:r>
      <w:r w:rsidR="001B07E6">
        <w:rPr>
          <w:lang w:val="fr-FR"/>
        </w:rPr>
        <w:t xml:space="preserve">lors de </w:t>
      </w:r>
      <w:r w:rsidR="009E6C14">
        <w:rPr>
          <w:lang w:val="fr-FR"/>
        </w:rPr>
        <w:t>l</w:t>
      </w:r>
      <w:r w:rsidR="00603708">
        <w:rPr>
          <w:lang w:val="fr-FR"/>
        </w:rPr>
        <w:t>’</w:t>
      </w:r>
      <w:r w:rsidR="009E6C14">
        <w:rPr>
          <w:lang w:val="fr-FR"/>
        </w:rPr>
        <w:t>irruption</w:t>
      </w:r>
      <w:r w:rsidR="001B07E6">
        <w:rPr>
          <w:lang w:val="fr-FR"/>
        </w:rPr>
        <w:t xml:space="preserve"> dans l</w:t>
      </w:r>
      <w:r w:rsidR="00603708">
        <w:rPr>
          <w:lang w:val="fr-FR"/>
        </w:rPr>
        <w:t>’</w:t>
      </w:r>
      <w:r w:rsidR="001B07E6">
        <w:rPr>
          <w:lang w:val="fr-FR"/>
        </w:rPr>
        <w:t>école Diaz-Pertini</w:t>
      </w:r>
      <w:r w:rsidR="004179B9">
        <w:rPr>
          <w:lang w:val="fr-FR"/>
        </w:rPr>
        <w:t>.</w:t>
      </w:r>
    </w:p>
    <w:p w:rsidR="0032468C" w:rsidRDefault="008121B4" w:rsidP="00A11F65">
      <w:pPr>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162</w:t>
      </w:r>
      <w:r>
        <w:rPr>
          <w:lang w:val="fr-FR"/>
        </w:rPr>
        <w:fldChar w:fldCharType="end"/>
      </w:r>
      <w:r>
        <w:rPr>
          <w:lang w:val="fr-FR"/>
        </w:rPr>
        <w:t>.  </w:t>
      </w:r>
      <w:r w:rsidR="00465ADE">
        <w:rPr>
          <w:lang w:val="fr-FR"/>
        </w:rPr>
        <w:t>Il</w:t>
      </w:r>
      <w:r w:rsidR="001B07E6">
        <w:rPr>
          <w:lang w:val="fr-FR"/>
        </w:rPr>
        <w:t xml:space="preserve"> </w:t>
      </w:r>
      <w:r w:rsidR="00465ADE">
        <w:rPr>
          <w:lang w:val="fr-FR"/>
        </w:rPr>
        <w:t>considère</w:t>
      </w:r>
      <w:r w:rsidR="001B07E6">
        <w:rPr>
          <w:lang w:val="fr-FR"/>
        </w:rPr>
        <w:t xml:space="preserve"> néanmoins que les év</w:t>
      </w:r>
      <w:r w:rsidR="00650C81">
        <w:rPr>
          <w:lang w:val="fr-FR"/>
        </w:rPr>
        <w:t>é</w:t>
      </w:r>
      <w:r w:rsidR="001B07E6">
        <w:rPr>
          <w:lang w:val="fr-FR"/>
        </w:rPr>
        <w:t>nements en question</w:t>
      </w:r>
      <w:r w:rsidR="003B3030">
        <w:rPr>
          <w:lang w:val="fr-FR"/>
        </w:rPr>
        <w:t xml:space="preserve">, </w:t>
      </w:r>
      <w:r w:rsidR="00C64547">
        <w:rPr>
          <w:lang w:val="fr-FR"/>
        </w:rPr>
        <w:t>parmi lesquels</w:t>
      </w:r>
      <w:r w:rsidR="003B3030">
        <w:rPr>
          <w:lang w:val="fr-FR"/>
        </w:rPr>
        <w:t xml:space="preserve"> les mauvais traitements dénoncés par le requérant,</w:t>
      </w:r>
      <w:r w:rsidR="001B07E6">
        <w:rPr>
          <w:lang w:val="fr-FR"/>
        </w:rPr>
        <w:t xml:space="preserve"> </w:t>
      </w:r>
      <w:r w:rsidR="00511350">
        <w:rPr>
          <w:lang w:val="fr-FR"/>
        </w:rPr>
        <w:t>ne s</w:t>
      </w:r>
      <w:r w:rsidR="00603708">
        <w:rPr>
          <w:lang w:val="fr-FR"/>
        </w:rPr>
        <w:t>’</w:t>
      </w:r>
      <w:r w:rsidR="00511350">
        <w:rPr>
          <w:lang w:val="fr-FR"/>
        </w:rPr>
        <w:t>inscrivent pas dans le cadre d</w:t>
      </w:r>
      <w:r w:rsidR="00603708">
        <w:rPr>
          <w:lang w:val="fr-FR"/>
        </w:rPr>
        <w:t>’</w:t>
      </w:r>
      <w:r w:rsidR="001B07E6">
        <w:rPr>
          <w:lang w:val="fr-FR"/>
        </w:rPr>
        <w:t xml:space="preserve">une pratique </w:t>
      </w:r>
      <w:r w:rsidR="009E6C14">
        <w:rPr>
          <w:lang w:val="fr-FR"/>
        </w:rPr>
        <w:t xml:space="preserve">répandue </w:t>
      </w:r>
      <w:r w:rsidR="00511350">
        <w:rPr>
          <w:lang w:val="fr-FR"/>
        </w:rPr>
        <w:t xml:space="preserve">de la police italienne. </w:t>
      </w:r>
      <w:r w:rsidR="00465ADE">
        <w:rPr>
          <w:rFonts w:cstheme="minorHAnsi"/>
          <w:lang w:val="fr-FR"/>
        </w:rPr>
        <w:t>À</w:t>
      </w:r>
      <w:r w:rsidR="00465ADE">
        <w:rPr>
          <w:lang w:val="fr-FR"/>
        </w:rPr>
        <w:t xml:space="preserve"> ses yeux, i</w:t>
      </w:r>
      <w:r w:rsidR="00511350">
        <w:rPr>
          <w:lang w:val="fr-FR"/>
        </w:rPr>
        <w:t>ls constituent en effet un épisode</w:t>
      </w:r>
      <w:r w:rsidR="007A1DF8">
        <w:rPr>
          <w:lang w:val="fr-FR"/>
        </w:rPr>
        <w:t xml:space="preserve"> malheureux,</w:t>
      </w:r>
      <w:r w:rsidR="00511350">
        <w:rPr>
          <w:lang w:val="fr-FR"/>
        </w:rPr>
        <w:t xml:space="preserve"> isolé et exceptionnel </w:t>
      </w:r>
      <w:r w:rsidR="00F93ADE">
        <w:rPr>
          <w:lang w:val="fr-FR"/>
        </w:rPr>
        <w:t xml:space="preserve">qui </w:t>
      </w:r>
      <w:r w:rsidR="00465ADE">
        <w:rPr>
          <w:lang w:val="fr-FR"/>
        </w:rPr>
        <w:t xml:space="preserve">devrait se lire </w:t>
      </w:r>
      <w:r w:rsidR="00A15A49">
        <w:rPr>
          <w:lang w:val="fr-FR"/>
        </w:rPr>
        <w:t>dans le contexte très tendu du G8 de Gênes</w:t>
      </w:r>
      <w:r w:rsidR="00465ADE">
        <w:rPr>
          <w:lang w:val="fr-FR"/>
        </w:rPr>
        <w:t xml:space="preserve"> </w:t>
      </w:r>
      <w:r w:rsidR="00F93ADE">
        <w:rPr>
          <w:lang w:val="fr-FR"/>
        </w:rPr>
        <w:t xml:space="preserve">et </w:t>
      </w:r>
      <w:r w:rsidR="003B3030">
        <w:rPr>
          <w:lang w:val="fr-FR"/>
        </w:rPr>
        <w:t>de l</w:t>
      </w:r>
      <w:r w:rsidR="00603708">
        <w:rPr>
          <w:lang w:val="fr-FR"/>
        </w:rPr>
        <w:t>’</w:t>
      </w:r>
      <w:r w:rsidR="003B3030">
        <w:rPr>
          <w:lang w:val="fr-FR"/>
        </w:rPr>
        <w:t xml:space="preserve">exigence tout à fait particulière </w:t>
      </w:r>
      <w:r w:rsidR="00F93ADE">
        <w:rPr>
          <w:lang w:val="fr-FR"/>
        </w:rPr>
        <w:t>de protection de l</w:t>
      </w:r>
      <w:r w:rsidR="00603708">
        <w:rPr>
          <w:lang w:val="fr-FR"/>
        </w:rPr>
        <w:t>’</w:t>
      </w:r>
      <w:r w:rsidR="00F93ADE">
        <w:rPr>
          <w:lang w:val="fr-FR"/>
        </w:rPr>
        <w:t xml:space="preserve">ordre public </w:t>
      </w:r>
      <w:r w:rsidR="00465ADE">
        <w:rPr>
          <w:lang w:val="fr-FR"/>
        </w:rPr>
        <w:t>découlant</w:t>
      </w:r>
      <w:r w:rsidR="00F93ADE">
        <w:rPr>
          <w:lang w:val="fr-FR"/>
        </w:rPr>
        <w:t xml:space="preserve"> de la présence de milliers de manifestants en provenance de l</w:t>
      </w:r>
      <w:r w:rsidR="00603708">
        <w:rPr>
          <w:lang w:val="fr-FR"/>
        </w:rPr>
        <w:t>’</w:t>
      </w:r>
      <w:r w:rsidR="00F93ADE">
        <w:rPr>
          <w:lang w:val="fr-FR"/>
        </w:rPr>
        <w:t xml:space="preserve">Europe entière et </w:t>
      </w:r>
      <w:r w:rsidR="009E6C14">
        <w:rPr>
          <w:lang w:val="fr-FR"/>
        </w:rPr>
        <w:t xml:space="preserve">dans celui </w:t>
      </w:r>
      <w:r w:rsidR="00F93ADE" w:rsidRPr="00730D47">
        <w:rPr>
          <w:lang w:val="fr-FR"/>
        </w:rPr>
        <w:t>de</w:t>
      </w:r>
      <w:r w:rsidR="00F93ADE">
        <w:rPr>
          <w:lang w:val="fr-FR"/>
        </w:rPr>
        <w:t>s</w:t>
      </w:r>
      <w:r w:rsidR="00F93ADE" w:rsidRPr="00730D47">
        <w:rPr>
          <w:lang w:val="fr-FR"/>
        </w:rPr>
        <w:t xml:space="preserve"> nombreux i</w:t>
      </w:r>
      <w:r w:rsidR="007A1DF8">
        <w:rPr>
          <w:lang w:val="fr-FR"/>
        </w:rPr>
        <w:t xml:space="preserve">ncidents et accrochages </w:t>
      </w:r>
      <w:r w:rsidR="009E6C14">
        <w:rPr>
          <w:lang w:val="fr-FR"/>
        </w:rPr>
        <w:t xml:space="preserve">qui se seraient </w:t>
      </w:r>
      <w:r w:rsidR="007A1DF8">
        <w:rPr>
          <w:lang w:val="fr-FR"/>
        </w:rPr>
        <w:t>produits pendant les manifestations</w:t>
      </w:r>
      <w:r w:rsidR="00F93ADE">
        <w:rPr>
          <w:lang w:val="fr-FR"/>
        </w:rPr>
        <w:t>.</w:t>
      </w:r>
    </w:p>
    <w:p w:rsidR="00C64547" w:rsidRDefault="00465ADE" w:rsidP="00A11F65">
      <w:pPr>
        <w:ind w:firstLine="360"/>
        <w:rPr>
          <w:lang w:val="fr-FR"/>
        </w:rPr>
      </w:pPr>
      <w:r>
        <w:rPr>
          <w:lang w:val="fr-FR"/>
        </w:rPr>
        <w:t>Le Gouvernement conclut que, a</w:t>
      </w:r>
      <w:r w:rsidR="00AF6882">
        <w:rPr>
          <w:lang w:val="fr-FR"/>
        </w:rPr>
        <w:t xml:space="preserve">u demeurant, </w:t>
      </w:r>
      <w:r w:rsidR="00790217">
        <w:rPr>
          <w:lang w:val="fr-FR"/>
        </w:rPr>
        <w:t>depuis plusieurs années</w:t>
      </w:r>
      <w:r>
        <w:rPr>
          <w:lang w:val="fr-FR"/>
        </w:rPr>
        <w:t>,</w:t>
      </w:r>
      <w:r w:rsidR="00790217">
        <w:rPr>
          <w:lang w:val="fr-FR"/>
        </w:rPr>
        <w:t xml:space="preserve"> l</w:t>
      </w:r>
      <w:r w:rsidR="00C64547">
        <w:rPr>
          <w:lang w:val="fr-FR"/>
        </w:rPr>
        <w:t>a</w:t>
      </w:r>
      <w:r w:rsidR="001515D3">
        <w:rPr>
          <w:lang w:val="fr-FR"/>
        </w:rPr>
        <w:t xml:space="preserve"> formation des forces de l</w:t>
      </w:r>
      <w:r w:rsidR="00603708">
        <w:rPr>
          <w:lang w:val="fr-FR"/>
        </w:rPr>
        <w:t>’</w:t>
      </w:r>
      <w:r w:rsidR="001515D3">
        <w:rPr>
          <w:lang w:val="fr-FR"/>
        </w:rPr>
        <w:t xml:space="preserve">ordre </w:t>
      </w:r>
      <w:r w:rsidR="00790217">
        <w:rPr>
          <w:lang w:val="fr-FR"/>
        </w:rPr>
        <w:t xml:space="preserve">italiennes </w:t>
      </w:r>
      <w:r w:rsidR="00FF7C90">
        <w:rPr>
          <w:lang w:val="fr-FR"/>
        </w:rPr>
        <w:t>met</w:t>
      </w:r>
      <w:r w:rsidR="00652518">
        <w:rPr>
          <w:lang w:val="fr-FR"/>
        </w:rPr>
        <w:t xml:space="preserve"> davantage l</w:t>
      </w:r>
      <w:r w:rsidR="00603708">
        <w:rPr>
          <w:lang w:val="fr-FR"/>
        </w:rPr>
        <w:t>’</w:t>
      </w:r>
      <w:r w:rsidR="00FF7C90">
        <w:rPr>
          <w:lang w:val="fr-FR"/>
        </w:rPr>
        <w:t>accent sur la sensibilisation d</w:t>
      </w:r>
      <w:r w:rsidR="00790217">
        <w:rPr>
          <w:lang w:val="fr-FR"/>
        </w:rPr>
        <w:t xml:space="preserve">es agents </w:t>
      </w:r>
      <w:r w:rsidR="00652518">
        <w:rPr>
          <w:lang w:val="fr-FR"/>
        </w:rPr>
        <w:t xml:space="preserve">au </w:t>
      </w:r>
      <w:r w:rsidR="001515D3">
        <w:rPr>
          <w:lang w:val="fr-FR"/>
        </w:rPr>
        <w:t>respect des droits de l</w:t>
      </w:r>
      <w:r w:rsidR="00603708">
        <w:rPr>
          <w:lang w:val="fr-FR"/>
        </w:rPr>
        <w:t>’</w:t>
      </w:r>
      <w:r w:rsidR="001515D3">
        <w:rPr>
          <w:lang w:val="fr-FR"/>
        </w:rPr>
        <w:t>homme</w:t>
      </w:r>
      <w:r w:rsidR="00790217">
        <w:rPr>
          <w:lang w:val="fr-FR"/>
        </w:rPr>
        <w:t>,</w:t>
      </w:r>
      <w:r w:rsidR="001515D3">
        <w:rPr>
          <w:lang w:val="fr-FR"/>
        </w:rPr>
        <w:t xml:space="preserve"> </w:t>
      </w:r>
      <w:r w:rsidR="00790217">
        <w:rPr>
          <w:lang w:val="fr-FR"/>
        </w:rPr>
        <w:t xml:space="preserve">au moyen, notamment, de la </w:t>
      </w:r>
      <w:r w:rsidR="00FF7C90">
        <w:rPr>
          <w:lang w:val="fr-FR"/>
        </w:rPr>
        <w:t xml:space="preserve">diffusion </w:t>
      </w:r>
      <w:r w:rsidR="00790217">
        <w:rPr>
          <w:lang w:val="fr-FR"/>
        </w:rPr>
        <w:t>des textes et</w:t>
      </w:r>
      <w:r w:rsidR="001515D3">
        <w:rPr>
          <w:lang w:val="fr-FR"/>
        </w:rPr>
        <w:t xml:space="preserve"> </w:t>
      </w:r>
      <w:r w:rsidR="00790217">
        <w:rPr>
          <w:lang w:val="fr-FR"/>
        </w:rPr>
        <w:t xml:space="preserve">des </w:t>
      </w:r>
      <w:r w:rsidR="001515D3">
        <w:rPr>
          <w:lang w:val="fr-FR"/>
        </w:rPr>
        <w:t>lig</w:t>
      </w:r>
      <w:r>
        <w:rPr>
          <w:lang w:val="fr-FR"/>
        </w:rPr>
        <w:t>nes directrices</w:t>
      </w:r>
      <w:r w:rsidR="001515D3">
        <w:rPr>
          <w:lang w:val="fr-FR"/>
        </w:rPr>
        <w:t xml:space="preserve"> internationales </w:t>
      </w:r>
      <w:r w:rsidR="00790217">
        <w:rPr>
          <w:lang w:val="fr-FR"/>
        </w:rPr>
        <w:t>en la matière</w:t>
      </w:r>
      <w:r w:rsidR="001515D3">
        <w:rPr>
          <w:lang w:val="fr-FR"/>
        </w:rPr>
        <w:t>.</w:t>
      </w:r>
    </w:p>
    <w:p w:rsidR="0064461B" w:rsidRDefault="00406B66" w:rsidP="00406B66">
      <w:pPr>
        <w:pStyle w:val="ECHRHeading5"/>
        <w:rPr>
          <w:lang w:val="fr-FR"/>
        </w:rPr>
      </w:pPr>
      <w:r>
        <w:rPr>
          <w:lang w:val="fr-FR"/>
        </w:rPr>
        <w:t>iii.</w:t>
      </w:r>
      <w:r w:rsidR="0031308D">
        <w:rPr>
          <w:lang w:val="fr-FR"/>
        </w:rPr>
        <w:t>  </w:t>
      </w:r>
      <w:r w:rsidR="0064461B">
        <w:rPr>
          <w:lang w:val="fr-FR"/>
        </w:rPr>
        <w:t>Les tiers intervenants</w:t>
      </w:r>
    </w:p>
    <w:p w:rsidR="00362E8F" w:rsidRDefault="00C64547" w:rsidP="00A11F65">
      <w:pPr>
        <w:ind w:firstLine="360"/>
        <w:rPr>
          <w:lang w:val="fr-FR"/>
        </w:rPr>
      </w:pPr>
      <w:r w:rsidRPr="00431312">
        <w:rPr>
          <w:lang w:val="fr-FR"/>
        </w:rPr>
        <w:fldChar w:fldCharType="begin"/>
      </w:r>
      <w:r w:rsidRPr="00251544">
        <w:rPr>
          <w:lang w:val="fr-FR"/>
        </w:rPr>
        <w:instrText xml:space="preserve"> SEQ level0 \*arabic </w:instrText>
      </w:r>
      <w:r w:rsidRPr="00431312">
        <w:rPr>
          <w:lang w:val="fr-FR"/>
        </w:rPr>
        <w:fldChar w:fldCharType="separate"/>
      </w:r>
      <w:r w:rsidR="00B378F9">
        <w:rPr>
          <w:noProof/>
          <w:lang w:val="fr-FR"/>
        </w:rPr>
        <w:t>163</w:t>
      </w:r>
      <w:r w:rsidRPr="00431312">
        <w:rPr>
          <w:lang w:val="fr-FR"/>
        </w:rPr>
        <w:fldChar w:fldCharType="end"/>
      </w:r>
      <w:r w:rsidRPr="00251544">
        <w:rPr>
          <w:lang w:val="fr-FR"/>
        </w:rPr>
        <w:t>. </w:t>
      </w:r>
      <w:r w:rsidR="0074626B" w:rsidRPr="00251544">
        <w:rPr>
          <w:lang w:val="fr-FR"/>
        </w:rPr>
        <w:t> </w:t>
      </w:r>
      <w:r w:rsidRPr="00251544">
        <w:rPr>
          <w:lang w:val="fr-FR"/>
        </w:rPr>
        <w:t xml:space="preserve">Les tiers intervenants rappellent </w:t>
      </w:r>
      <w:r w:rsidR="000C490A" w:rsidRPr="00251544">
        <w:rPr>
          <w:lang w:val="fr-FR"/>
        </w:rPr>
        <w:t>les conclusions de</w:t>
      </w:r>
      <w:r w:rsidRPr="00251544">
        <w:rPr>
          <w:lang w:val="fr-FR"/>
        </w:rPr>
        <w:t xml:space="preserve"> l</w:t>
      </w:r>
      <w:r w:rsidR="00603708">
        <w:rPr>
          <w:lang w:val="fr-FR"/>
        </w:rPr>
        <w:t>’</w:t>
      </w:r>
      <w:r w:rsidRPr="00251544">
        <w:rPr>
          <w:lang w:val="fr-FR"/>
        </w:rPr>
        <w:t>arrêt d</w:t>
      </w:r>
      <w:r w:rsidR="00603708">
        <w:rPr>
          <w:lang w:val="fr-FR"/>
        </w:rPr>
        <w:t>’</w:t>
      </w:r>
      <w:r w:rsidRPr="00251544">
        <w:rPr>
          <w:lang w:val="fr-FR"/>
        </w:rPr>
        <w:t>appel</w:t>
      </w:r>
      <w:r>
        <w:rPr>
          <w:lang w:val="fr-FR"/>
        </w:rPr>
        <w:t xml:space="preserve"> (</w:t>
      </w:r>
      <w:r w:rsidR="002F11EE" w:rsidRPr="00AC0DAF">
        <w:rPr>
          <w:lang w:val="fr-FR"/>
        </w:rPr>
        <w:t>paragraphe</w:t>
      </w:r>
      <w:r w:rsidR="002E0BD1" w:rsidRPr="00AC0DAF">
        <w:rPr>
          <w:lang w:val="fr-FR"/>
        </w:rPr>
        <w:t>s</w:t>
      </w:r>
      <w:r w:rsidR="002F11EE" w:rsidRPr="00AC0DAF">
        <w:rPr>
          <w:lang w:val="fr-FR"/>
        </w:rPr>
        <w:t xml:space="preserve"> 6</w:t>
      </w:r>
      <w:r w:rsidR="00406B66" w:rsidRPr="00AC0DAF">
        <w:rPr>
          <w:lang w:val="fr-FR"/>
        </w:rPr>
        <w:t>4</w:t>
      </w:r>
      <w:r w:rsidR="002F11EE" w:rsidRPr="00AC0DAF">
        <w:rPr>
          <w:lang w:val="fr-FR"/>
        </w:rPr>
        <w:t xml:space="preserve"> </w:t>
      </w:r>
      <w:r w:rsidR="00897330" w:rsidRPr="00AC0DAF">
        <w:rPr>
          <w:lang w:val="fr-FR"/>
        </w:rPr>
        <w:t>et 68</w:t>
      </w:r>
      <w:r w:rsidR="002E0BD1" w:rsidRPr="00AC0DAF">
        <w:rPr>
          <w:lang w:val="fr-FR"/>
        </w:rPr>
        <w:t xml:space="preserve"> ci-dessus</w:t>
      </w:r>
      <w:r>
        <w:rPr>
          <w:lang w:val="fr-FR"/>
        </w:rPr>
        <w:t>)</w:t>
      </w:r>
      <w:r w:rsidR="000C490A">
        <w:rPr>
          <w:lang w:val="fr-FR"/>
        </w:rPr>
        <w:t xml:space="preserve"> </w:t>
      </w:r>
      <w:r w:rsidR="009275F3">
        <w:rPr>
          <w:lang w:val="fr-FR"/>
        </w:rPr>
        <w:t>selon</w:t>
      </w:r>
      <w:r w:rsidR="000C490A">
        <w:rPr>
          <w:lang w:val="fr-FR"/>
        </w:rPr>
        <w:t xml:space="preserve"> lesquelles</w:t>
      </w:r>
      <w:r>
        <w:rPr>
          <w:lang w:val="fr-FR"/>
        </w:rPr>
        <w:t xml:space="preserve"> </w:t>
      </w:r>
      <w:r w:rsidR="002F11EE">
        <w:rPr>
          <w:lang w:val="fr-FR"/>
        </w:rPr>
        <w:t>l</w:t>
      </w:r>
      <w:r w:rsidR="00603708">
        <w:rPr>
          <w:lang w:val="fr-FR"/>
        </w:rPr>
        <w:t>’</w:t>
      </w:r>
      <w:r w:rsidR="002F11EE">
        <w:rPr>
          <w:lang w:val="fr-FR"/>
        </w:rPr>
        <w:t>irruption</w:t>
      </w:r>
      <w:r>
        <w:rPr>
          <w:lang w:val="fr-FR"/>
        </w:rPr>
        <w:t xml:space="preserve"> dans l</w:t>
      </w:r>
      <w:r w:rsidR="00603708">
        <w:rPr>
          <w:lang w:val="fr-FR"/>
        </w:rPr>
        <w:t>’</w:t>
      </w:r>
      <w:r>
        <w:rPr>
          <w:lang w:val="fr-FR"/>
        </w:rPr>
        <w:t>école Diaz-Perti</w:t>
      </w:r>
      <w:r w:rsidR="000C490A">
        <w:rPr>
          <w:lang w:val="fr-FR"/>
        </w:rPr>
        <w:t xml:space="preserve">ni </w:t>
      </w:r>
      <w:r w:rsidR="008C1632">
        <w:rPr>
          <w:lang w:val="fr-FR"/>
        </w:rPr>
        <w:t>aurait eu pour but</w:t>
      </w:r>
      <w:r w:rsidR="000C490A">
        <w:rPr>
          <w:lang w:val="fr-FR"/>
        </w:rPr>
        <w:t xml:space="preserve"> moins </w:t>
      </w:r>
      <w:r w:rsidR="009275F3">
        <w:rPr>
          <w:lang w:val="fr-FR"/>
        </w:rPr>
        <w:t xml:space="preserve">de </w:t>
      </w:r>
      <w:r w:rsidR="000C490A">
        <w:rPr>
          <w:lang w:val="fr-FR"/>
        </w:rPr>
        <w:t>recherche</w:t>
      </w:r>
      <w:r w:rsidR="009275F3">
        <w:rPr>
          <w:lang w:val="fr-FR"/>
        </w:rPr>
        <w:t>r</w:t>
      </w:r>
      <w:r w:rsidR="000C490A">
        <w:rPr>
          <w:lang w:val="fr-FR"/>
        </w:rPr>
        <w:t xml:space="preserve"> d</w:t>
      </w:r>
      <w:r w:rsidR="009275F3">
        <w:rPr>
          <w:lang w:val="fr-FR"/>
        </w:rPr>
        <w:t xml:space="preserve">es </w:t>
      </w:r>
      <w:r w:rsidR="000C490A">
        <w:rPr>
          <w:lang w:val="fr-FR"/>
        </w:rPr>
        <w:t xml:space="preserve">éléments de preuve et </w:t>
      </w:r>
      <w:r w:rsidR="009275F3">
        <w:rPr>
          <w:lang w:val="fr-FR"/>
        </w:rPr>
        <w:t>d</w:t>
      </w:r>
      <w:r w:rsidR="00603708">
        <w:rPr>
          <w:lang w:val="fr-FR"/>
        </w:rPr>
        <w:t>’</w:t>
      </w:r>
      <w:r w:rsidR="000C490A">
        <w:rPr>
          <w:lang w:val="fr-FR"/>
        </w:rPr>
        <w:t>identifi</w:t>
      </w:r>
      <w:r w:rsidR="009275F3">
        <w:rPr>
          <w:lang w:val="fr-FR"/>
        </w:rPr>
        <w:t>er l</w:t>
      </w:r>
      <w:r w:rsidR="000C490A">
        <w:rPr>
          <w:lang w:val="fr-FR"/>
        </w:rPr>
        <w:t>es auteurs des saccages de la journée du 21 juillet</w:t>
      </w:r>
      <w:r w:rsidR="00652518">
        <w:rPr>
          <w:lang w:val="fr-FR"/>
        </w:rPr>
        <w:t xml:space="preserve"> 2001</w:t>
      </w:r>
      <w:r w:rsidR="000C490A">
        <w:rPr>
          <w:lang w:val="fr-FR"/>
        </w:rPr>
        <w:t xml:space="preserve"> que</w:t>
      </w:r>
      <w:r w:rsidR="002F11EE">
        <w:rPr>
          <w:lang w:val="fr-FR"/>
        </w:rPr>
        <w:t xml:space="preserve"> </w:t>
      </w:r>
      <w:r w:rsidR="009275F3" w:rsidRPr="008D3288">
        <w:rPr>
          <w:lang w:val="fr-FR"/>
        </w:rPr>
        <w:t>de procéder à d</w:t>
      </w:r>
      <w:r w:rsidR="008C1632" w:rsidRPr="008D3288">
        <w:rPr>
          <w:lang w:val="fr-FR"/>
        </w:rPr>
        <w:t xml:space="preserve">es arrestations </w:t>
      </w:r>
      <w:r w:rsidR="004B26A6" w:rsidRPr="008D3288">
        <w:rPr>
          <w:lang w:val="fr-FR"/>
        </w:rPr>
        <w:t>nombreuses et</w:t>
      </w:r>
      <w:r w:rsidR="002F11EE" w:rsidRPr="008D3288">
        <w:rPr>
          <w:lang w:val="fr-FR"/>
        </w:rPr>
        <w:t xml:space="preserve"> indiscriminée</w:t>
      </w:r>
      <w:r w:rsidR="004B26A6" w:rsidRPr="008D3288">
        <w:rPr>
          <w:lang w:val="fr-FR"/>
        </w:rPr>
        <w:t>s</w:t>
      </w:r>
      <w:r w:rsidR="002F11EE" w:rsidRPr="008D3288">
        <w:rPr>
          <w:lang w:val="fr-FR"/>
        </w:rPr>
        <w:t>.</w:t>
      </w:r>
      <w:r w:rsidR="008F5E0B" w:rsidRPr="008D3288">
        <w:rPr>
          <w:lang w:val="fr-FR"/>
        </w:rPr>
        <w:t xml:space="preserve"> Ils </w:t>
      </w:r>
      <w:r w:rsidR="009275F3" w:rsidRPr="008D3288">
        <w:rPr>
          <w:lang w:val="fr-FR"/>
        </w:rPr>
        <w:t>appuient</w:t>
      </w:r>
      <w:r w:rsidR="009275F3">
        <w:rPr>
          <w:lang w:val="fr-FR"/>
        </w:rPr>
        <w:t xml:space="preserve"> </w:t>
      </w:r>
      <w:r w:rsidR="007A31B8">
        <w:rPr>
          <w:lang w:val="fr-FR"/>
        </w:rPr>
        <w:t xml:space="preserve">également </w:t>
      </w:r>
      <w:r w:rsidR="00362E8F">
        <w:rPr>
          <w:lang w:val="fr-FR"/>
        </w:rPr>
        <w:t xml:space="preserve">les affirmations de la </w:t>
      </w:r>
      <w:r w:rsidR="008F5E0B">
        <w:rPr>
          <w:lang w:val="fr-FR"/>
        </w:rPr>
        <w:t xml:space="preserve">Cour de cassation </w:t>
      </w:r>
      <w:r w:rsidR="00362E8F">
        <w:rPr>
          <w:lang w:val="fr-FR"/>
        </w:rPr>
        <w:t>selon lesquelles</w:t>
      </w:r>
      <w:r w:rsidR="007A31B8">
        <w:rPr>
          <w:lang w:val="fr-FR"/>
        </w:rPr>
        <w:t xml:space="preserve"> </w:t>
      </w:r>
      <w:r w:rsidR="00362E8F">
        <w:rPr>
          <w:lang w:val="fr-FR"/>
        </w:rPr>
        <w:t xml:space="preserve">les violences perpétrées par la police </w:t>
      </w:r>
      <w:r w:rsidR="009275F3">
        <w:rPr>
          <w:lang w:val="fr-FR"/>
        </w:rPr>
        <w:t>dans l</w:t>
      </w:r>
      <w:r w:rsidR="00603708">
        <w:rPr>
          <w:lang w:val="fr-FR"/>
        </w:rPr>
        <w:t>’</w:t>
      </w:r>
      <w:r w:rsidR="009275F3">
        <w:rPr>
          <w:lang w:val="fr-FR"/>
        </w:rPr>
        <w:t>école en question auraient</w:t>
      </w:r>
      <w:r w:rsidR="00362E8F">
        <w:rPr>
          <w:lang w:val="fr-FR"/>
        </w:rPr>
        <w:t xml:space="preserve"> été d</w:t>
      </w:r>
      <w:r w:rsidR="00603708">
        <w:rPr>
          <w:lang w:val="fr-FR"/>
        </w:rPr>
        <w:t>’</w:t>
      </w:r>
      <w:r w:rsidR="00362E8F">
        <w:rPr>
          <w:lang w:val="fr-FR"/>
        </w:rPr>
        <w:t xml:space="preserve">une gravité </w:t>
      </w:r>
      <w:r w:rsidR="00362E8F" w:rsidRPr="00406B66">
        <w:rPr>
          <w:lang w:val="fr-FR"/>
        </w:rPr>
        <w:t>absolue</w:t>
      </w:r>
      <w:r w:rsidR="00362E8F">
        <w:rPr>
          <w:lang w:val="fr-FR"/>
        </w:rPr>
        <w:t xml:space="preserve"> </w:t>
      </w:r>
      <w:r w:rsidR="009275F3">
        <w:rPr>
          <w:lang w:val="fr-FR"/>
        </w:rPr>
        <w:t xml:space="preserve">parce que </w:t>
      </w:r>
      <w:r w:rsidR="00362E8F">
        <w:rPr>
          <w:lang w:val="fr-FR"/>
        </w:rPr>
        <w:t>commises de manière généralisée dans tous les locaux de l</w:t>
      </w:r>
      <w:r w:rsidR="00603708">
        <w:rPr>
          <w:lang w:val="fr-FR"/>
        </w:rPr>
        <w:t>’</w:t>
      </w:r>
      <w:r w:rsidR="00362E8F">
        <w:rPr>
          <w:lang w:val="fr-FR"/>
        </w:rPr>
        <w:t>école et contre des personnes à l</w:t>
      </w:r>
      <w:r w:rsidR="00603708">
        <w:rPr>
          <w:lang w:val="fr-FR"/>
        </w:rPr>
        <w:t>’</w:t>
      </w:r>
      <w:r w:rsidR="00362E8F">
        <w:rPr>
          <w:lang w:val="fr-FR"/>
        </w:rPr>
        <w:t xml:space="preserve">évidence désarmées, endormies ou assises les mains </w:t>
      </w:r>
      <w:r w:rsidR="007A31B8">
        <w:rPr>
          <w:lang w:val="fr-FR"/>
        </w:rPr>
        <w:t>en</w:t>
      </w:r>
      <w:r w:rsidR="00362E8F">
        <w:rPr>
          <w:lang w:val="fr-FR"/>
        </w:rPr>
        <w:t xml:space="preserve"> l</w:t>
      </w:r>
      <w:r w:rsidR="00603708">
        <w:rPr>
          <w:lang w:val="fr-FR"/>
        </w:rPr>
        <w:t>’</w:t>
      </w:r>
      <w:r w:rsidR="00362E8F">
        <w:rPr>
          <w:lang w:val="fr-FR"/>
        </w:rPr>
        <w:t>air (</w:t>
      </w:r>
      <w:r w:rsidR="00897330" w:rsidRPr="00AC0DAF">
        <w:rPr>
          <w:lang w:val="fr-FR"/>
        </w:rPr>
        <w:t>paragraphe</w:t>
      </w:r>
      <w:r w:rsidR="00652518" w:rsidRPr="00AC0DAF">
        <w:rPr>
          <w:lang w:val="fr-FR"/>
        </w:rPr>
        <w:t xml:space="preserve">s </w:t>
      </w:r>
      <w:r w:rsidR="00897330" w:rsidRPr="00AC0DAF">
        <w:rPr>
          <w:lang w:val="fr-FR"/>
        </w:rPr>
        <w:t>77 et 79</w:t>
      </w:r>
      <w:r w:rsidR="002E0BD1" w:rsidRPr="00AC0DAF">
        <w:rPr>
          <w:lang w:val="fr-FR"/>
        </w:rPr>
        <w:t xml:space="preserve"> ci-dessus</w:t>
      </w:r>
      <w:r w:rsidR="00362E8F">
        <w:rPr>
          <w:lang w:val="fr-FR"/>
        </w:rPr>
        <w:t>).</w:t>
      </w:r>
    </w:p>
    <w:p w:rsidR="00362E8F" w:rsidRDefault="00406B66" w:rsidP="008B2F51">
      <w:pPr>
        <w:pStyle w:val="ECHRHeading4"/>
        <w:rPr>
          <w:lang w:val="fr-FR"/>
        </w:rPr>
      </w:pPr>
      <w:r>
        <w:rPr>
          <w:lang w:val="fr-FR"/>
        </w:rPr>
        <w:t>b</w:t>
      </w:r>
      <w:r w:rsidR="008B2F51">
        <w:rPr>
          <w:lang w:val="fr-FR"/>
        </w:rPr>
        <w:t>)</w:t>
      </w:r>
      <w:r w:rsidR="0074626B">
        <w:rPr>
          <w:lang w:val="fr-FR"/>
        </w:rPr>
        <w:t>  </w:t>
      </w:r>
      <w:r w:rsidR="00424829">
        <w:rPr>
          <w:lang w:val="fr-FR"/>
        </w:rPr>
        <w:t xml:space="preserve">Appréciation </w:t>
      </w:r>
      <w:r w:rsidR="0066065C">
        <w:rPr>
          <w:lang w:val="fr-FR"/>
        </w:rPr>
        <w:t>de</w:t>
      </w:r>
      <w:r w:rsidR="00424829">
        <w:rPr>
          <w:lang w:val="fr-FR"/>
        </w:rPr>
        <w:t xml:space="preserve"> l</w:t>
      </w:r>
      <w:r w:rsidR="00362E8F">
        <w:rPr>
          <w:lang w:val="fr-FR"/>
        </w:rPr>
        <w:t>a Cour</w:t>
      </w:r>
    </w:p>
    <w:p w:rsidR="008121B4" w:rsidRPr="00BF1DE8" w:rsidRDefault="00845047" w:rsidP="000B5793">
      <w:pPr>
        <w:pStyle w:val="ECHRHeading5"/>
        <w:rPr>
          <w:lang w:val="fr-FR"/>
        </w:rPr>
      </w:pPr>
      <w:r>
        <w:rPr>
          <w:lang w:val="fr-FR"/>
        </w:rPr>
        <w:t>i.</w:t>
      </w:r>
      <w:r w:rsidR="0074626B">
        <w:rPr>
          <w:lang w:val="fr-FR"/>
        </w:rPr>
        <w:t>  </w:t>
      </w:r>
      <w:r w:rsidR="002E0BD1">
        <w:rPr>
          <w:lang w:val="fr-FR"/>
        </w:rPr>
        <w:t>Sur la</w:t>
      </w:r>
      <w:r w:rsidR="00BF1DE8">
        <w:rPr>
          <w:lang w:val="fr-FR"/>
        </w:rPr>
        <w:t xml:space="preserve"> preuve des mauvais traitements allégués</w:t>
      </w:r>
    </w:p>
    <w:p w:rsidR="0032468C" w:rsidRDefault="00BF1DE8" w:rsidP="00845047">
      <w:pPr>
        <w:pStyle w:val="ECHRPara"/>
        <w:rPr>
          <w:szCs w:val="24"/>
          <w:lang w:val="fr-FR"/>
        </w:rPr>
      </w:pPr>
      <w:r w:rsidRPr="0099734C">
        <w:rPr>
          <w:lang w:val="fr-FR"/>
        </w:rPr>
        <w:fldChar w:fldCharType="begin"/>
      </w:r>
      <w:r w:rsidRPr="00711A4F">
        <w:rPr>
          <w:lang w:val="fr-FR"/>
        </w:rPr>
        <w:instrText xml:space="preserve"> SEQ level0 \*arabic </w:instrText>
      </w:r>
      <w:r w:rsidRPr="0099734C">
        <w:rPr>
          <w:lang w:val="fr-FR"/>
        </w:rPr>
        <w:fldChar w:fldCharType="separate"/>
      </w:r>
      <w:r w:rsidR="00B378F9">
        <w:rPr>
          <w:noProof/>
          <w:lang w:val="fr-FR"/>
        </w:rPr>
        <w:t>164</w:t>
      </w:r>
      <w:r w:rsidRPr="0099734C">
        <w:rPr>
          <w:lang w:val="fr-FR"/>
        </w:rPr>
        <w:fldChar w:fldCharType="end"/>
      </w:r>
      <w:r w:rsidRPr="00711A4F">
        <w:rPr>
          <w:lang w:val="fr-FR"/>
        </w:rPr>
        <w:t>.  </w:t>
      </w:r>
      <w:r w:rsidR="009275F3">
        <w:rPr>
          <w:lang w:val="fr-FR"/>
        </w:rPr>
        <w:t>La Cour rappelle que, comme il ressort</w:t>
      </w:r>
      <w:r w:rsidR="00207916">
        <w:rPr>
          <w:lang w:val="fr-FR"/>
        </w:rPr>
        <w:t xml:space="preserve"> d</w:t>
      </w:r>
      <w:r w:rsidR="00E91CDE">
        <w:rPr>
          <w:lang w:val="fr-FR"/>
        </w:rPr>
        <w:t xml:space="preserve">e sa jurisprudence bien établie </w:t>
      </w:r>
      <w:r w:rsidR="00E91CDE" w:rsidRPr="004A51F8">
        <w:rPr>
          <w:lang w:val="fr-FR"/>
        </w:rPr>
        <w:t>(</w:t>
      </w:r>
      <w:r w:rsidR="00E91CDE" w:rsidRPr="00AC0DAF">
        <w:rPr>
          <w:lang w:val="fr-FR"/>
        </w:rPr>
        <w:t>voir, parmi beaucoup d</w:t>
      </w:r>
      <w:r w:rsidR="00603708">
        <w:rPr>
          <w:lang w:val="fr-FR"/>
        </w:rPr>
        <w:t>’</w:t>
      </w:r>
      <w:r w:rsidR="00E91CDE" w:rsidRPr="00AC0DAF">
        <w:rPr>
          <w:lang w:val="fr-FR"/>
        </w:rPr>
        <w:t xml:space="preserve">autres, </w:t>
      </w:r>
      <w:r w:rsidR="00E91CDE" w:rsidRPr="00AC0DAF">
        <w:rPr>
          <w:rStyle w:val="ju-005fpara--char"/>
          <w:i/>
          <w:iCs/>
          <w:lang w:val="fr-FR"/>
        </w:rPr>
        <w:t>Salman c. Turquie</w:t>
      </w:r>
      <w:r w:rsidR="00E91CDE" w:rsidRPr="00AC0DAF">
        <w:rPr>
          <w:lang w:val="fr-FR"/>
        </w:rPr>
        <w:t xml:space="preserve"> [GC], </w:t>
      </w:r>
      <w:r w:rsidR="009275F3" w:rsidRPr="00AC0DAF">
        <w:rPr>
          <w:lang w:val="fr-FR"/>
        </w:rPr>
        <w:t>n</w:t>
      </w:r>
      <w:r w:rsidR="009275F3" w:rsidRPr="00AC0DAF">
        <w:rPr>
          <w:vertAlign w:val="superscript"/>
          <w:lang w:val="fr-FR"/>
        </w:rPr>
        <w:t>o</w:t>
      </w:r>
      <w:r w:rsidR="009275F3">
        <w:rPr>
          <w:lang w:val="fr-FR"/>
        </w:rPr>
        <w:t> </w:t>
      </w:r>
      <w:r w:rsidR="00E91CDE" w:rsidRPr="00AC0DAF">
        <w:rPr>
          <w:lang w:val="fr-FR"/>
        </w:rPr>
        <w:t xml:space="preserve">21986/93, </w:t>
      </w:r>
      <w:r w:rsidR="00711A4F" w:rsidRPr="00AC0DAF">
        <w:rPr>
          <w:lang w:val="fr-FR"/>
        </w:rPr>
        <w:t>§</w:t>
      </w:r>
      <w:r w:rsidR="00711A4F">
        <w:rPr>
          <w:lang w:val="fr-FR"/>
        </w:rPr>
        <w:t> </w:t>
      </w:r>
      <w:r w:rsidR="00E91CDE" w:rsidRPr="00AC0DAF">
        <w:rPr>
          <w:lang w:val="fr-FR"/>
        </w:rPr>
        <w:t>100, CEDH 2000-VII</w:t>
      </w:r>
      <w:r w:rsidR="0074626B">
        <w:rPr>
          <w:lang w:val="fr-FR"/>
        </w:rPr>
        <w:t>, et</w:t>
      </w:r>
      <w:r w:rsidR="00E91CDE" w:rsidRPr="00AC0DAF">
        <w:rPr>
          <w:lang w:val="fr-FR"/>
        </w:rPr>
        <w:t xml:space="preserve"> </w:t>
      </w:r>
      <w:r w:rsidR="00E91CDE" w:rsidRPr="00AC0DAF">
        <w:rPr>
          <w:i/>
          <w:lang w:val="fr-FR"/>
        </w:rPr>
        <w:t>Gäfgen</w:t>
      </w:r>
      <w:r w:rsidR="00E91CDE" w:rsidRPr="00AC0DAF">
        <w:rPr>
          <w:lang w:val="fr-FR"/>
        </w:rPr>
        <w:t>,</w:t>
      </w:r>
      <w:r w:rsidR="00CC2A82" w:rsidRPr="00AC0DAF">
        <w:rPr>
          <w:lang w:val="fr-FR"/>
        </w:rPr>
        <w:t xml:space="preserve"> précité,</w:t>
      </w:r>
      <w:r w:rsidR="00E91CDE" w:rsidRPr="00AC0DAF">
        <w:rPr>
          <w:lang w:val="fr-FR"/>
        </w:rPr>
        <w:t xml:space="preserve"> § 92</w:t>
      </w:r>
      <w:r w:rsidR="00E91CDE" w:rsidRPr="00652518">
        <w:rPr>
          <w:lang w:val="fr-FR"/>
        </w:rPr>
        <w:t>)</w:t>
      </w:r>
      <w:r w:rsidR="00711A4F">
        <w:rPr>
          <w:rStyle w:val="sb8d990e2"/>
          <w:lang w:val="fr-FR"/>
        </w:rPr>
        <w:t xml:space="preserve">, </w:t>
      </w:r>
      <w:r w:rsidR="002E0BD1" w:rsidRPr="002E0BD1">
        <w:rPr>
          <w:rStyle w:val="sb8d990e2"/>
          <w:lang w:val="fr-FR"/>
        </w:rPr>
        <w:t>en cas d</w:t>
      </w:r>
      <w:r w:rsidR="00603708">
        <w:rPr>
          <w:rStyle w:val="sb8d990e2"/>
          <w:lang w:val="fr-FR"/>
        </w:rPr>
        <w:t>’</w:t>
      </w:r>
      <w:r w:rsidR="002E0BD1" w:rsidRPr="002E0BD1">
        <w:rPr>
          <w:rStyle w:val="sb8d990e2"/>
          <w:lang w:val="fr-FR"/>
        </w:rPr>
        <w:t xml:space="preserve">allégations </w:t>
      </w:r>
      <w:r w:rsidR="009275F3">
        <w:rPr>
          <w:rStyle w:val="sb8d990e2"/>
          <w:lang w:val="fr-FR"/>
        </w:rPr>
        <w:t>de violation</w:t>
      </w:r>
      <w:r w:rsidR="002E0BD1" w:rsidRPr="002E0BD1">
        <w:rPr>
          <w:rStyle w:val="sb8d990e2"/>
          <w:lang w:val="fr-FR"/>
        </w:rPr>
        <w:t xml:space="preserve"> de l</w:t>
      </w:r>
      <w:r w:rsidR="00603708">
        <w:rPr>
          <w:rStyle w:val="sb8d990e2"/>
          <w:lang w:val="fr-FR"/>
        </w:rPr>
        <w:t>’</w:t>
      </w:r>
      <w:r w:rsidR="002E0BD1" w:rsidRPr="002E0BD1">
        <w:rPr>
          <w:rStyle w:val="sb8d990e2"/>
          <w:lang w:val="fr-FR"/>
        </w:rPr>
        <w:t>article 3 de la Convention, elle doit</w:t>
      </w:r>
      <w:r w:rsidR="00251544">
        <w:rPr>
          <w:rStyle w:val="sb8d990e2"/>
          <w:lang w:val="fr-FR"/>
        </w:rPr>
        <w:t xml:space="preserve">, pour apprécier les preuves, </w:t>
      </w:r>
      <w:r w:rsidR="002E0BD1" w:rsidRPr="002E0BD1">
        <w:rPr>
          <w:rStyle w:val="sb8d990e2"/>
          <w:lang w:val="fr-FR"/>
        </w:rPr>
        <w:t>se livrer à un examen particulièrement approfondi</w:t>
      </w:r>
      <w:r w:rsidR="00805875">
        <w:rPr>
          <w:rStyle w:val="sb8d990e2"/>
          <w:lang w:val="fr-FR"/>
        </w:rPr>
        <w:t>. L</w:t>
      </w:r>
      <w:r w:rsidR="00E91CDE" w:rsidRPr="008D2B82">
        <w:rPr>
          <w:lang w:val="fr-FR"/>
        </w:rPr>
        <w:t>orsque des procé</w:t>
      </w:r>
      <w:r w:rsidR="006008D5">
        <w:rPr>
          <w:lang w:val="fr-FR"/>
        </w:rPr>
        <w:t xml:space="preserve">dures internes ont été menées, </w:t>
      </w:r>
      <w:r w:rsidR="00A97567">
        <w:rPr>
          <w:lang w:val="fr-FR"/>
        </w:rPr>
        <w:t>elle</w:t>
      </w:r>
      <w:r w:rsidR="00E91CDE" w:rsidRPr="008D2B82">
        <w:rPr>
          <w:lang w:val="fr-FR"/>
        </w:rPr>
        <w:t xml:space="preserve"> n</w:t>
      </w:r>
      <w:r w:rsidR="00603708">
        <w:rPr>
          <w:lang w:val="fr-FR"/>
        </w:rPr>
        <w:t>’</w:t>
      </w:r>
      <w:r w:rsidR="00E91CDE" w:rsidRPr="008D2B82">
        <w:rPr>
          <w:lang w:val="fr-FR"/>
        </w:rPr>
        <w:t>a pas à substituer sa propre version des faits à celle des juridictions nationales, auxquelles il appartient d</w:t>
      </w:r>
      <w:r w:rsidR="00603708">
        <w:rPr>
          <w:lang w:val="fr-FR"/>
        </w:rPr>
        <w:t>’</w:t>
      </w:r>
      <w:r w:rsidR="00E91CDE" w:rsidRPr="008D2B82">
        <w:rPr>
          <w:lang w:val="fr-FR"/>
        </w:rPr>
        <w:t>établir les faits sur la base des preuves recueillies</w:t>
      </w:r>
      <w:r w:rsidR="00E91CDE" w:rsidRPr="008D2B82">
        <w:rPr>
          <w:rFonts w:ascii="Times New Roman" w:eastAsia="MS Mincho" w:hAnsi="Times New Roman" w:cs="Times New Roman"/>
          <w:lang w:val="fr-FR"/>
        </w:rPr>
        <w:t xml:space="preserve"> par elles</w:t>
      </w:r>
      <w:r w:rsidR="00207916" w:rsidRPr="004A51F8">
        <w:rPr>
          <w:szCs w:val="24"/>
          <w:lang w:val="fr-FR"/>
        </w:rPr>
        <w:t>.</w:t>
      </w:r>
    </w:p>
    <w:p w:rsidR="0032468C" w:rsidRDefault="00516DDD" w:rsidP="00845047">
      <w:pPr>
        <w:pStyle w:val="ECHRPara"/>
        <w:rPr>
          <w:szCs w:val="24"/>
          <w:lang w:val="fr-FR"/>
        </w:rPr>
      </w:pPr>
      <w:r>
        <w:rPr>
          <w:szCs w:val="24"/>
          <w:lang w:val="fr-FR"/>
        </w:rPr>
        <w:t>En effet, m</w:t>
      </w:r>
      <w:r w:rsidR="00207916" w:rsidRPr="004A51F8">
        <w:rPr>
          <w:szCs w:val="24"/>
          <w:lang w:val="fr-FR"/>
        </w:rPr>
        <w:t xml:space="preserve">ême si </w:t>
      </w:r>
      <w:r>
        <w:rPr>
          <w:szCs w:val="24"/>
          <w:lang w:val="fr-FR"/>
        </w:rPr>
        <w:t>dans ce type d</w:t>
      </w:r>
      <w:r w:rsidR="00603708">
        <w:rPr>
          <w:szCs w:val="24"/>
          <w:lang w:val="fr-FR"/>
        </w:rPr>
        <w:t>’</w:t>
      </w:r>
      <w:r>
        <w:rPr>
          <w:szCs w:val="24"/>
          <w:lang w:val="fr-FR"/>
        </w:rPr>
        <w:t xml:space="preserve">affaires </w:t>
      </w:r>
      <w:r w:rsidR="00805875">
        <w:rPr>
          <w:szCs w:val="24"/>
          <w:lang w:val="fr-FR"/>
        </w:rPr>
        <w:t>elle est</w:t>
      </w:r>
      <w:r>
        <w:rPr>
          <w:szCs w:val="24"/>
          <w:lang w:val="fr-FR"/>
        </w:rPr>
        <w:t xml:space="preserve"> </w:t>
      </w:r>
      <w:r w:rsidR="009275F3">
        <w:rPr>
          <w:szCs w:val="24"/>
          <w:lang w:val="fr-FR"/>
        </w:rPr>
        <w:t>disposée</w:t>
      </w:r>
      <w:r>
        <w:rPr>
          <w:szCs w:val="24"/>
          <w:lang w:val="fr-FR"/>
        </w:rPr>
        <w:t xml:space="preserve"> </w:t>
      </w:r>
      <w:r w:rsidRPr="008F7BFA">
        <w:rPr>
          <w:lang w:val="fr-FR"/>
        </w:rPr>
        <w:t>à examiner d</w:t>
      </w:r>
      <w:r w:rsidR="00603708">
        <w:rPr>
          <w:lang w:val="fr-FR"/>
        </w:rPr>
        <w:t>’</w:t>
      </w:r>
      <w:r w:rsidRPr="008F7BFA">
        <w:rPr>
          <w:lang w:val="fr-FR"/>
        </w:rPr>
        <w:t>un œil plus critique les conclusions des juridictions nationales</w:t>
      </w:r>
      <w:r>
        <w:rPr>
          <w:lang w:val="fr-FR"/>
        </w:rPr>
        <w:t xml:space="preserve"> (</w:t>
      </w:r>
      <w:r w:rsidRPr="00AC0DAF">
        <w:rPr>
          <w:i/>
          <w:lang w:val="fr-FR"/>
        </w:rPr>
        <w:t>El-Masri c</w:t>
      </w:r>
      <w:r w:rsidR="00711A4F" w:rsidRPr="00AC0DAF">
        <w:rPr>
          <w:i/>
          <w:lang w:val="fr-FR"/>
        </w:rPr>
        <w:t>.</w:t>
      </w:r>
      <w:r w:rsidR="00711A4F">
        <w:rPr>
          <w:i/>
          <w:lang w:val="fr-FR"/>
        </w:rPr>
        <w:t> </w:t>
      </w:r>
      <w:r w:rsidRPr="00AC0DAF">
        <w:rPr>
          <w:i/>
          <w:lang w:val="fr-FR"/>
        </w:rPr>
        <w:t>l</w:t>
      </w:r>
      <w:r w:rsidR="00603708">
        <w:rPr>
          <w:i/>
          <w:lang w:val="fr-FR"/>
        </w:rPr>
        <w:t>’</w:t>
      </w:r>
      <w:r w:rsidRPr="00AC0DAF">
        <w:rPr>
          <w:i/>
          <w:lang w:val="fr-FR"/>
        </w:rPr>
        <w:t xml:space="preserve">ex-République yougoslave de Macédoine </w:t>
      </w:r>
      <w:r w:rsidRPr="00AC0DAF">
        <w:rPr>
          <w:lang w:val="fr-FR"/>
        </w:rPr>
        <w:t>[GC], n</w:t>
      </w:r>
      <w:r w:rsidRPr="00AC0DAF">
        <w:rPr>
          <w:vertAlign w:val="superscript"/>
          <w:lang w:val="fr-FR"/>
        </w:rPr>
        <w:t>o</w:t>
      </w:r>
      <w:r w:rsidRPr="00AC0DAF">
        <w:rPr>
          <w:lang w:val="fr-FR"/>
        </w:rPr>
        <w:t xml:space="preserve"> 39630/09, § </w:t>
      </w:r>
      <w:r w:rsidR="00D47024" w:rsidRPr="00AC0DAF">
        <w:rPr>
          <w:lang w:val="fr-FR"/>
        </w:rPr>
        <w:t>155</w:t>
      </w:r>
      <w:r w:rsidRPr="00AC0DAF">
        <w:rPr>
          <w:lang w:val="fr-FR"/>
        </w:rPr>
        <w:t>,</w:t>
      </w:r>
      <w:r w:rsidRPr="00AC0DAF">
        <w:rPr>
          <w:snapToGrid w:val="0"/>
          <w:lang w:val="fr-FR"/>
        </w:rPr>
        <w:t xml:space="preserve"> CEDH 2012</w:t>
      </w:r>
      <w:r>
        <w:rPr>
          <w:snapToGrid w:val="0"/>
          <w:lang w:val="fr-FR"/>
        </w:rPr>
        <w:t>)</w:t>
      </w:r>
      <w:r w:rsidR="00665CB5">
        <w:rPr>
          <w:szCs w:val="24"/>
          <w:lang w:val="fr-FR"/>
        </w:rPr>
        <w:t>, il lui faut néanmoins d</w:t>
      </w:r>
      <w:r w:rsidR="00603708">
        <w:rPr>
          <w:szCs w:val="24"/>
          <w:lang w:val="fr-FR"/>
        </w:rPr>
        <w:t>’</w:t>
      </w:r>
      <w:r w:rsidR="00207916" w:rsidRPr="004A51F8">
        <w:rPr>
          <w:szCs w:val="24"/>
          <w:lang w:val="fr-FR"/>
        </w:rPr>
        <w:t>habitude d</w:t>
      </w:r>
      <w:r w:rsidR="00251544">
        <w:rPr>
          <w:szCs w:val="24"/>
          <w:lang w:val="fr-FR"/>
        </w:rPr>
        <w:t>isposer d</w:t>
      </w:r>
      <w:r w:rsidR="00603708">
        <w:rPr>
          <w:szCs w:val="24"/>
          <w:lang w:val="fr-FR"/>
        </w:rPr>
        <w:t>’</w:t>
      </w:r>
      <w:r w:rsidR="00207916" w:rsidRPr="004A51F8">
        <w:rPr>
          <w:szCs w:val="24"/>
          <w:lang w:val="fr-FR"/>
        </w:rPr>
        <w:t>éléments convaincants pour pouvoir s</w:t>
      </w:r>
      <w:r w:rsidR="00603708">
        <w:rPr>
          <w:szCs w:val="24"/>
          <w:lang w:val="fr-FR"/>
        </w:rPr>
        <w:t>’</w:t>
      </w:r>
      <w:r w:rsidR="00207916" w:rsidRPr="004A51F8">
        <w:rPr>
          <w:szCs w:val="24"/>
          <w:lang w:val="fr-FR"/>
        </w:rPr>
        <w:t xml:space="preserve">écarter des constatations auxquelles </w:t>
      </w:r>
      <w:r w:rsidR="009275F3">
        <w:rPr>
          <w:szCs w:val="24"/>
          <w:lang w:val="fr-FR"/>
        </w:rPr>
        <w:t>c</w:t>
      </w:r>
      <w:r>
        <w:rPr>
          <w:szCs w:val="24"/>
          <w:lang w:val="fr-FR"/>
        </w:rPr>
        <w:t>elles</w:t>
      </w:r>
      <w:r w:rsidR="009275F3">
        <w:rPr>
          <w:szCs w:val="24"/>
          <w:lang w:val="fr-FR"/>
        </w:rPr>
        <w:t>-ci</w:t>
      </w:r>
      <w:r w:rsidR="00207916" w:rsidRPr="004A51F8">
        <w:rPr>
          <w:szCs w:val="24"/>
          <w:lang w:val="fr-FR"/>
        </w:rPr>
        <w:t xml:space="preserve"> sont parvenu</w:t>
      </w:r>
      <w:r>
        <w:rPr>
          <w:szCs w:val="24"/>
          <w:lang w:val="fr-FR"/>
        </w:rPr>
        <w:t>e</w:t>
      </w:r>
      <w:r w:rsidR="00207916" w:rsidRPr="004A51F8">
        <w:rPr>
          <w:szCs w:val="24"/>
          <w:lang w:val="fr-FR"/>
        </w:rPr>
        <w:t>s</w:t>
      </w:r>
      <w:r w:rsidR="00711A4F">
        <w:rPr>
          <w:szCs w:val="24"/>
          <w:lang w:val="fr-FR"/>
        </w:rPr>
        <w:t xml:space="preserve"> </w:t>
      </w:r>
      <w:r w:rsidR="00207916" w:rsidRPr="004A51F8">
        <w:rPr>
          <w:szCs w:val="24"/>
          <w:lang w:val="fr-FR"/>
        </w:rPr>
        <w:t>(</w:t>
      </w:r>
      <w:r w:rsidR="00665CB5">
        <w:rPr>
          <w:szCs w:val="24"/>
          <w:lang w:val="fr-FR"/>
        </w:rPr>
        <w:t xml:space="preserve">voir, parmi </w:t>
      </w:r>
      <w:r w:rsidR="009275F3">
        <w:rPr>
          <w:szCs w:val="24"/>
          <w:lang w:val="fr-FR"/>
        </w:rPr>
        <w:t>beaucoup</w:t>
      </w:r>
      <w:r w:rsidR="00665CB5">
        <w:rPr>
          <w:szCs w:val="24"/>
          <w:lang w:val="fr-FR"/>
        </w:rPr>
        <w:t xml:space="preserve"> d</w:t>
      </w:r>
      <w:r w:rsidR="00603708">
        <w:rPr>
          <w:szCs w:val="24"/>
          <w:lang w:val="fr-FR"/>
        </w:rPr>
        <w:t>’</w:t>
      </w:r>
      <w:r w:rsidR="00665CB5">
        <w:rPr>
          <w:szCs w:val="24"/>
          <w:lang w:val="fr-FR"/>
        </w:rPr>
        <w:t xml:space="preserve">autres, </w:t>
      </w:r>
      <w:r w:rsidR="00845047" w:rsidRPr="00AC0DAF">
        <w:rPr>
          <w:rStyle w:val="s6b621b36"/>
          <w:i/>
          <w:lang w:val="fr-FR"/>
        </w:rPr>
        <w:t>Vladimir Romanov</w:t>
      </w:r>
      <w:r w:rsidR="00845047" w:rsidRPr="00AC0DAF">
        <w:rPr>
          <w:rStyle w:val="sb8d990e2"/>
          <w:lang w:val="fr-FR"/>
        </w:rPr>
        <w:t>,</w:t>
      </w:r>
      <w:r w:rsidR="00944BE0" w:rsidRPr="00AC0DAF">
        <w:rPr>
          <w:rStyle w:val="sb8d990e2"/>
          <w:lang w:val="fr-FR"/>
        </w:rPr>
        <w:t xml:space="preserve"> précité,</w:t>
      </w:r>
      <w:r w:rsidR="00845047" w:rsidRPr="00AC0DAF">
        <w:rPr>
          <w:rStyle w:val="sb8d990e2"/>
          <w:lang w:val="fr-FR"/>
        </w:rPr>
        <w:t xml:space="preserve"> § 59, 24 juillet 2008</w:t>
      </w:r>
      <w:r w:rsidR="004917F3">
        <w:rPr>
          <w:rStyle w:val="sb8d990e2"/>
          <w:lang w:val="fr-FR"/>
        </w:rPr>
        <w:t>,</w:t>
      </w:r>
      <w:r w:rsidR="00845047" w:rsidRPr="00AC0DAF">
        <w:rPr>
          <w:rStyle w:val="sb8d990e2"/>
          <w:lang w:val="fr-FR"/>
        </w:rPr>
        <w:t xml:space="preserve"> </w:t>
      </w:r>
      <w:r w:rsidR="00845047" w:rsidRPr="00AC0DAF">
        <w:rPr>
          <w:i/>
          <w:lang w:val="fr-FR"/>
        </w:rPr>
        <w:t>Georgiy Bykov c. Russie</w:t>
      </w:r>
      <w:r w:rsidR="00845047" w:rsidRPr="00AC0DAF">
        <w:rPr>
          <w:lang w:val="fr-FR"/>
        </w:rPr>
        <w:t>, n</w:t>
      </w:r>
      <w:r w:rsidR="00845047" w:rsidRPr="00AC0DAF">
        <w:rPr>
          <w:vertAlign w:val="superscript"/>
          <w:lang w:val="fr-FR"/>
        </w:rPr>
        <w:t>o</w:t>
      </w:r>
      <w:r w:rsidR="00845047" w:rsidRPr="00AC0DAF">
        <w:rPr>
          <w:lang w:val="fr-FR"/>
        </w:rPr>
        <w:t xml:space="preserve"> 24271/03</w:t>
      </w:r>
      <w:r w:rsidR="00845047" w:rsidRPr="00AC0DAF">
        <w:rPr>
          <w:snapToGrid w:val="0"/>
          <w:szCs w:val="24"/>
          <w:lang w:val="fr-FR"/>
        </w:rPr>
        <w:t xml:space="preserve">, § 51, </w:t>
      </w:r>
      <w:r w:rsidR="00251544" w:rsidRPr="00AC0DAF">
        <w:rPr>
          <w:snapToGrid w:val="0"/>
          <w:szCs w:val="24"/>
          <w:lang w:val="fr-FR"/>
        </w:rPr>
        <w:t>14</w:t>
      </w:r>
      <w:r w:rsidR="00251544">
        <w:rPr>
          <w:snapToGrid w:val="0"/>
          <w:szCs w:val="24"/>
          <w:lang w:val="fr-FR"/>
        </w:rPr>
        <w:t> </w:t>
      </w:r>
      <w:r w:rsidR="00845047" w:rsidRPr="00AC0DAF">
        <w:rPr>
          <w:szCs w:val="24"/>
          <w:lang w:val="fr-FR"/>
        </w:rPr>
        <w:t>octobre</w:t>
      </w:r>
      <w:r w:rsidR="00845047" w:rsidRPr="00AC0DAF">
        <w:rPr>
          <w:snapToGrid w:val="0"/>
          <w:szCs w:val="24"/>
          <w:lang w:val="fr-FR"/>
        </w:rPr>
        <w:t xml:space="preserve"> 2010</w:t>
      </w:r>
      <w:r w:rsidR="004917F3">
        <w:rPr>
          <w:snapToGrid w:val="0"/>
          <w:szCs w:val="24"/>
          <w:lang w:val="fr-FR"/>
        </w:rPr>
        <w:t>,</w:t>
      </w:r>
      <w:r w:rsidR="00845047" w:rsidRPr="00AC0DAF">
        <w:rPr>
          <w:snapToGrid w:val="0"/>
          <w:szCs w:val="24"/>
          <w:lang w:val="fr-FR"/>
        </w:rPr>
        <w:t xml:space="preserve"> </w:t>
      </w:r>
      <w:r w:rsidR="00207916" w:rsidRPr="00AC0DAF">
        <w:rPr>
          <w:i/>
          <w:lang w:val="fr-FR"/>
        </w:rPr>
        <w:t>Gäfgen</w:t>
      </w:r>
      <w:r w:rsidR="00207916" w:rsidRPr="00AC0DAF">
        <w:rPr>
          <w:lang w:val="fr-FR"/>
        </w:rPr>
        <w:t>, précité, § 93</w:t>
      </w:r>
      <w:r w:rsidR="004917F3">
        <w:rPr>
          <w:lang w:val="fr-FR"/>
        </w:rPr>
        <w:t>,</w:t>
      </w:r>
      <w:r w:rsidR="00207916" w:rsidRPr="00AC0DAF">
        <w:rPr>
          <w:lang w:val="fr-FR"/>
        </w:rPr>
        <w:t xml:space="preserve"> </w:t>
      </w:r>
      <w:r w:rsidR="00207916" w:rsidRPr="00AC0DAF">
        <w:rPr>
          <w:i/>
          <w:lang w:val="fr-FR"/>
        </w:rPr>
        <w:t>Darraj</w:t>
      </w:r>
      <w:r w:rsidR="00207916" w:rsidRPr="00AC0DAF">
        <w:rPr>
          <w:snapToGrid w:val="0"/>
          <w:szCs w:val="24"/>
          <w:lang w:val="pt-BR"/>
        </w:rPr>
        <w:t>,</w:t>
      </w:r>
      <w:r w:rsidR="0064029F" w:rsidRPr="00AC0DAF">
        <w:rPr>
          <w:snapToGrid w:val="0"/>
          <w:szCs w:val="24"/>
          <w:lang w:val="pt-BR"/>
        </w:rPr>
        <w:t xml:space="preserve"> précité,</w:t>
      </w:r>
      <w:r w:rsidR="00207916" w:rsidRPr="00AC0DAF">
        <w:rPr>
          <w:snapToGrid w:val="0"/>
          <w:szCs w:val="24"/>
          <w:lang w:val="pt-BR"/>
        </w:rPr>
        <w:t xml:space="preserve"> § 37</w:t>
      </w:r>
      <w:r w:rsidR="004917F3">
        <w:rPr>
          <w:snapToGrid w:val="0"/>
          <w:szCs w:val="24"/>
          <w:lang w:val="pt-BR"/>
        </w:rPr>
        <w:t>,</w:t>
      </w:r>
      <w:r w:rsidR="006607DF" w:rsidRPr="00AC0DAF">
        <w:rPr>
          <w:i/>
          <w:lang w:val="fr-FR"/>
        </w:rPr>
        <w:t xml:space="preserve"> </w:t>
      </w:r>
      <w:r w:rsidR="00845047" w:rsidRPr="00AC0DAF">
        <w:rPr>
          <w:i/>
          <w:lang w:val="fr-FR"/>
        </w:rPr>
        <w:t>Alberti c. Italie</w:t>
      </w:r>
      <w:r w:rsidR="00845047" w:rsidRPr="00AC0DAF">
        <w:rPr>
          <w:lang w:val="fr-FR"/>
        </w:rPr>
        <w:t>, n</w:t>
      </w:r>
      <w:r w:rsidR="00845047" w:rsidRPr="00AC0DAF">
        <w:rPr>
          <w:vertAlign w:val="superscript"/>
          <w:lang w:val="fr-FR"/>
        </w:rPr>
        <w:t>o</w:t>
      </w:r>
      <w:r w:rsidR="00845047" w:rsidRPr="00AC0DAF">
        <w:rPr>
          <w:lang w:val="fr-FR"/>
        </w:rPr>
        <w:t xml:space="preserve"> 15397/11</w:t>
      </w:r>
      <w:r w:rsidR="00845047" w:rsidRPr="00AC0DAF">
        <w:rPr>
          <w:snapToGrid w:val="0"/>
          <w:lang w:val="fr-FR"/>
        </w:rPr>
        <w:t xml:space="preserve">, § 41, </w:t>
      </w:r>
      <w:r w:rsidR="009275F3" w:rsidRPr="00AC0DAF">
        <w:rPr>
          <w:snapToGrid w:val="0"/>
          <w:lang w:val="fr-FR"/>
        </w:rPr>
        <w:t>24</w:t>
      </w:r>
      <w:r w:rsidR="009275F3">
        <w:rPr>
          <w:snapToGrid w:val="0"/>
          <w:lang w:val="fr-FR"/>
        </w:rPr>
        <w:t> </w:t>
      </w:r>
      <w:r w:rsidR="00845047" w:rsidRPr="00AC0DAF">
        <w:rPr>
          <w:lang w:val="fr-FR"/>
        </w:rPr>
        <w:t>juin</w:t>
      </w:r>
      <w:r w:rsidR="00845047" w:rsidRPr="00AC0DAF">
        <w:rPr>
          <w:snapToGrid w:val="0"/>
          <w:lang w:val="fr-FR"/>
        </w:rPr>
        <w:t xml:space="preserve"> 2014</w:t>
      </w:r>
      <w:r w:rsidR="004917F3">
        <w:rPr>
          <w:snapToGrid w:val="0"/>
          <w:lang w:val="fr-FR"/>
        </w:rPr>
        <w:t>,</w:t>
      </w:r>
      <w:r w:rsidR="00845047" w:rsidRPr="00AC0DAF">
        <w:rPr>
          <w:snapToGrid w:val="0"/>
          <w:lang w:val="fr-FR"/>
        </w:rPr>
        <w:t xml:space="preserve"> </w:t>
      </w:r>
      <w:r w:rsidR="006607DF" w:rsidRPr="00AC0DAF">
        <w:rPr>
          <w:i/>
          <w:lang w:val="fr-FR"/>
        </w:rPr>
        <w:t>Saba c. Italie</w:t>
      </w:r>
      <w:r w:rsidR="006607DF" w:rsidRPr="00AC0DAF">
        <w:rPr>
          <w:lang w:val="fr-FR"/>
        </w:rPr>
        <w:t>, n</w:t>
      </w:r>
      <w:r w:rsidR="006607DF" w:rsidRPr="00AC0DAF">
        <w:rPr>
          <w:vertAlign w:val="superscript"/>
          <w:lang w:val="fr-FR"/>
        </w:rPr>
        <w:t>o</w:t>
      </w:r>
      <w:r w:rsidR="006607DF" w:rsidRPr="00AC0DAF">
        <w:rPr>
          <w:lang w:val="fr-FR"/>
        </w:rPr>
        <w:t xml:space="preserve"> 36629/10</w:t>
      </w:r>
      <w:r w:rsidR="006607DF" w:rsidRPr="00AC0DAF">
        <w:rPr>
          <w:snapToGrid w:val="0"/>
          <w:lang w:val="fr-FR"/>
        </w:rPr>
        <w:t xml:space="preserve">, § </w:t>
      </w:r>
      <w:r w:rsidR="00845047" w:rsidRPr="00AC0DAF">
        <w:rPr>
          <w:snapToGrid w:val="0"/>
          <w:lang w:val="fr-FR"/>
        </w:rPr>
        <w:t>69</w:t>
      </w:r>
      <w:r w:rsidR="006607DF" w:rsidRPr="00AC0DAF">
        <w:rPr>
          <w:snapToGrid w:val="0"/>
          <w:lang w:val="fr-FR"/>
        </w:rPr>
        <w:t>, 1</w:t>
      </w:r>
      <w:r w:rsidR="004917F3" w:rsidRPr="000B5793">
        <w:rPr>
          <w:snapToGrid w:val="0"/>
          <w:vertAlign w:val="superscript"/>
          <w:lang w:val="fr-FR"/>
        </w:rPr>
        <w:t>er</w:t>
      </w:r>
      <w:r w:rsidR="000932F0">
        <w:rPr>
          <w:snapToGrid w:val="0"/>
          <w:vertAlign w:val="superscript"/>
          <w:lang w:val="fr-FR"/>
        </w:rPr>
        <w:t xml:space="preserve">  </w:t>
      </w:r>
      <w:r w:rsidR="006607DF" w:rsidRPr="00AC0DAF">
        <w:rPr>
          <w:lang w:val="fr-FR"/>
        </w:rPr>
        <w:t>juillet</w:t>
      </w:r>
      <w:r w:rsidR="006607DF" w:rsidRPr="00AC0DAF">
        <w:rPr>
          <w:snapToGrid w:val="0"/>
          <w:lang w:val="fr-FR"/>
        </w:rPr>
        <w:t xml:space="preserve"> 2014</w:t>
      </w:r>
      <w:r w:rsidR="004917F3">
        <w:rPr>
          <w:snapToGrid w:val="0"/>
          <w:lang w:val="fr-FR"/>
        </w:rPr>
        <w:t>, et</w:t>
      </w:r>
      <w:r w:rsidR="00665CB5" w:rsidRPr="00AC0DAF">
        <w:rPr>
          <w:snapToGrid w:val="0"/>
          <w:szCs w:val="24"/>
          <w:lang w:val="pt-BR"/>
        </w:rPr>
        <w:t xml:space="preserve"> </w:t>
      </w:r>
      <w:r w:rsidR="00665CB5" w:rsidRPr="00AC0DAF">
        <w:rPr>
          <w:i/>
          <w:lang w:val="fr-FR"/>
        </w:rPr>
        <w:t>Ataykaya c</w:t>
      </w:r>
      <w:r w:rsidR="0052600B" w:rsidRPr="00AC0DAF">
        <w:rPr>
          <w:i/>
          <w:lang w:val="fr-FR"/>
        </w:rPr>
        <w:t>.</w:t>
      </w:r>
      <w:r w:rsidR="0052600B">
        <w:rPr>
          <w:i/>
          <w:lang w:val="fr-FR"/>
        </w:rPr>
        <w:t> </w:t>
      </w:r>
      <w:r w:rsidR="00665CB5" w:rsidRPr="00AC0DAF">
        <w:rPr>
          <w:i/>
          <w:lang w:val="fr-FR"/>
        </w:rPr>
        <w:t>Turquie</w:t>
      </w:r>
      <w:r w:rsidR="00665CB5" w:rsidRPr="00AC0DAF">
        <w:rPr>
          <w:lang w:val="fr-FR"/>
        </w:rPr>
        <w:t>, n</w:t>
      </w:r>
      <w:r w:rsidR="00665CB5" w:rsidRPr="00AC0DAF">
        <w:rPr>
          <w:vertAlign w:val="superscript"/>
          <w:lang w:val="fr-FR"/>
        </w:rPr>
        <w:t>o</w:t>
      </w:r>
      <w:r w:rsidR="00665CB5" w:rsidRPr="00AC0DAF">
        <w:rPr>
          <w:lang w:val="fr-FR"/>
        </w:rPr>
        <w:t xml:space="preserve"> 50275/08</w:t>
      </w:r>
      <w:r w:rsidR="00665CB5" w:rsidRPr="00AC0DAF">
        <w:rPr>
          <w:snapToGrid w:val="0"/>
          <w:lang w:val="fr-FR"/>
        </w:rPr>
        <w:t xml:space="preserve">, § 47, 22 </w:t>
      </w:r>
      <w:r w:rsidR="00665CB5" w:rsidRPr="00AC0DAF">
        <w:rPr>
          <w:lang w:val="fr-FR"/>
        </w:rPr>
        <w:t>juillet</w:t>
      </w:r>
      <w:r w:rsidR="00665CB5" w:rsidRPr="00AC0DAF">
        <w:rPr>
          <w:snapToGrid w:val="0"/>
          <w:lang w:val="fr-FR"/>
        </w:rPr>
        <w:t xml:space="preserve"> 2014</w:t>
      </w:r>
      <w:r w:rsidR="00207916" w:rsidRPr="00370159">
        <w:rPr>
          <w:lang w:val="fr-FR"/>
        </w:rPr>
        <w:t>)</w:t>
      </w:r>
      <w:r w:rsidR="00207916" w:rsidRPr="00370159">
        <w:rPr>
          <w:szCs w:val="24"/>
          <w:lang w:val="fr-FR"/>
        </w:rPr>
        <w:t>.</w:t>
      </w:r>
    </w:p>
    <w:p w:rsidR="0032468C" w:rsidRDefault="00CA601B" w:rsidP="004A51F8">
      <w:pPr>
        <w:pStyle w:val="ECHRPara"/>
        <w:ind w:firstLine="360"/>
        <w:rPr>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165</w:t>
      </w:r>
      <w:r>
        <w:rPr>
          <w:szCs w:val="24"/>
          <w:lang w:val="fr-FR"/>
        </w:rPr>
        <w:fldChar w:fldCharType="end"/>
      </w:r>
      <w:r>
        <w:rPr>
          <w:szCs w:val="24"/>
          <w:lang w:val="fr-FR"/>
        </w:rPr>
        <w:t>.  </w:t>
      </w:r>
      <w:r w:rsidR="004A51F8" w:rsidRPr="004A51F8">
        <w:rPr>
          <w:szCs w:val="24"/>
          <w:lang w:val="fr-FR"/>
        </w:rPr>
        <w:t>En l</w:t>
      </w:r>
      <w:r w:rsidR="00603708">
        <w:rPr>
          <w:szCs w:val="24"/>
          <w:lang w:val="fr-FR"/>
        </w:rPr>
        <w:t>’</w:t>
      </w:r>
      <w:r w:rsidR="004A51F8" w:rsidRPr="004A51F8">
        <w:rPr>
          <w:szCs w:val="24"/>
          <w:lang w:val="fr-FR"/>
        </w:rPr>
        <w:t xml:space="preserve">espèce, </w:t>
      </w:r>
      <w:r w:rsidR="00711A4F">
        <w:rPr>
          <w:szCs w:val="24"/>
          <w:lang w:val="fr-FR"/>
        </w:rPr>
        <w:t xml:space="preserve">la Cour note que </w:t>
      </w:r>
      <w:r w:rsidR="004A51F8" w:rsidRPr="004A51F8">
        <w:rPr>
          <w:szCs w:val="24"/>
          <w:lang w:val="fr-FR"/>
        </w:rPr>
        <w:t>le jugement de première instance et l</w:t>
      </w:r>
      <w:r w:rsidR="00603708">
        <w:rPr>
          <w:szCs w:val="24"/>
          <w:lang w:val="fr-FR"/>
        </w:rPr>
        <w:t>’</w:t>
      </w:r>
      <w:r w:rsidR="004A51F8" w:rsidRPr="004A51F8">
        <w:rPr>
          <w:szCs w:val="24"/>
          <w:lang w:val="fr-FR"/>
        </w:rPr>
        <w:t>arrêt d</w:t>
      </w:r>
      <w:r w:rsidR="00603708">
        <w:rPr>
          <w:szCs w:val="24"/>
          <w:lang w:val="fr-FR"/>
        </w:rPr>
        <w:t>’</w:t>
      </w:r>
      <w:r w:rsidR="004A51F8" w:rsidRPr="004A51F8">
        <w:rPr>
          <w:szCs w:val="24"/>
          <w:lang w:val="fr-FR"/>
        </w:rPr>
        <w:t>appel (</w:t>
      </w:r>
      <w:r w:rsidR="00A97567" w:rsidRPr="00AC0DAF">
        <w:rPr>
          <w:szCs w:val="24"/>
          <w:lang w:val="fr-FR"/>
        </w:rPr>
        <w:t>paragraphe</w:t>
      </w:r>
      <w:r w:rsidR="007D6676" w:rsidRPr="00AC0DAF">
        <w:rPr>
          <w:szCs w:val="24"/>
          <w:lang w:val="fr-FR"/>
        </w:rPr>
        <w:t>s 33 et</w:t>
      </w:r>
      <w:r w:rsidR="00885D63" w:rsidRPr="00AC0DAF">
        <w:rPr>
          <w:szCs w:val="24"/>
          <w:lang w:val="fr-FR"/>
        </w:rPr>
        <w:t xml:space="preserve"> </w:t>
      </w:r>
      <w:r w:rsidR="007D6676" w:rsidRPr="00AC0DAF">
        <w:rPr>
          <w:szCs w:val="24"/>
          <w:lang w:val="fr-FR"/>
        </w:rPr>
        <w:t xml:space="preserve">73 </w:t>
      </w:r>
      <w:r w:rsidR="00885D63" w:rsidRPr="00AC0DAF">
        <w:rPr>
          <w:szCs w:val="24"/>
          <w:lang w:val="fr-FR"/>
        </w:rPr>
        <w:t>ci-dessus</w:t>
      </w:r>
      <w:r w:rsidR="004A51F8" w:rsidRPr="004A51F8">
        <w:rPr>
          <w:szCs w:val="24"/>
          <w:lang w:val="fr-FR"/>
        </w:rPr>
        <w:t>), auxquels se réfère l</w:t>
      </w:r>
      <w:r w:rsidR="00603708">
        <w:rPr>
          <w:szCs w:val="24"/>
          <w:lang w:val="fr-FR"/>
        </w:rPr>
        <w:t>’</w:t>
      </w:r>
      <w:r w:rsidR="004A51F8" w:rsidRPr="004A51F8">
        <w:rPr>
          <w:szCs w:val="24"/>
          <w:lang w:val="fr-FR"/>
        </w:rPr>
        <w:t>arrêt de la Cour de cassation (</w:t>
      </w:r>
      <w:r w:rsidR="007D6676" w:rsidRPr="00AC0DAF">
        <w:rPr>
          <w:szCs w:val="24"/>
          <w:lang w:val="fr-FR"/>
        </w:rPr>
        <w:t>paragraphe</w:t>
      </w:r>
      <w:r w:rsidR="004A51F8" w:rsidRPr="00AC0DAF">
        <w:rPr>
          <w:szCs w:val="24"/>
          <w:lang w:val="fr-FR"/>
        </w:rPr>
        <w:t xml:space="preserve"> 7</w:t>
      </w:r>
      <w:r w:rsidR="007D6676" w:rsidRPr="00AC0DAF">
        <w:rPr>
          <w:szCs w:val="24"/>
          <w:lang w:val="fr-FR"/>
        </w:rPr>
        <w:t>7</w:t>
      </w:r>
      <w:r w:rsidR="00885D63" w:rsidRPr="00AC0DAF">
        <w:rPr>
          <w:szCs w:val="24"/>
          <w:lang w:val="fr-FR"/>
        </w:rPr>
        <w:t xml:space="preserve"> ci-dessus</w:t>
      </w:r>
      <w:r w:rsidR="00885D63">
        <w:rPr>
          <w:szCs w:val="24"/>
          <w:lang w:val="fr-FR"/>
        </w:rPr>
        <w:t>),</w:t>
      </w:r>
      <w:r w:rsidR="004A51F8" w:rsidRPr="004A51F8">
        <w:rPr>
          <w:szCs w:val="24"/>
          <w:lang w:val="fr-FR"/>
        </w:rPr>
        <w:t xml:space="preserve"> </w:t>
      </w:r>
      <w:r w:rsidR="00A0724C">
        <w:rPr>
          <w:szCs w:val="24"/>
          <w:lang w:val="fr-FR"/>
        </w:rPr>
        <w:t>exposent</w:t>
      </w:r>
      <w:r w:rsidR="004A51F8" w:rsidRPr="00885D63">
        <w:rPr>
          <w:szCs w:val="24"/>
          <w:lang w:val="fr-FR"/>
        </w:rPr>
        <w:t xml:space="preserve"> que, une fois entrés dans l</w:t>
      </w:r>
      <w:r w:rsidR="00603708">
        <w:rPr>
          <w:szCs w:val="24"/>
          <w:lang w:val="fr-FR"/>
        </w:rPr>
        <w:t>’</w:t>
      </w:r>
      <w:r w:rsidR="004A51F8" w:rsidRPr="00885D63">
        <w:rPr>
          <w:szCs w:val="24"/>
          <w:lang w:val="fr-FR"/>
        </w:rPr>
        <w:t xml:space="preserve">école Diaz-Pertini, les agents ont frappé presque tous les occupants, même </w:t>
      </w:r>
      <w:r w:rsidR="00652518">
        <w:rPr>
          <w:szCs w:val="24"/>
          <w:lang w:val="fr-FR"/>
        </w:rPr>
        <w:t>ceux qui</w:t>
      </w:r>
      <w:r w:rsidR="004A51F8" w:rsidRPr="00885D63">
        <w:rPr>
          <w:szCs w:val="24"/>
          <w:lang w:val="fr-FR"/>
        </w:rPr>
        <w:t xml:space="preserve"> </w:t>
      </w:r>
      <w:r w:rsidR="004A51F8" w:rsidRPr="00885D63">
        <w:rPr>
          <w:lang w:val="fr-FR"/>
        </w:rPr>
        <w:t>étai</w:t>
      </w:r>
      <w:r w:rsidR="007D6676">
        <w:rPr>
          <w:lang w:val="fr-FR"/>
        </w:rPr>
        <w:t>ent assis ou allongé</w:t>
      </w:r>
      <w:r w:rsidR="00711A4F">
        <w:rPr>
          <w:lang w:val="fr-FR"/>
        </w:rPr>
        <w:t>s</w:t>
      </w:r>
      <w:r w:rsidR="007D6676">
        <w:rPr>
          <w:lang w:val="fr-FR"/>
        </w:rPr>
        <w:t xml:space="preserve"> par terre,</w:t>
      </w:r>
      <w:r w:rsidR="004A51F8" w:rsidRPr="00885D63">
        <w:rPr>
          <w:szCs w:val="24"/>
          <w:lang w:val="fr-FR"/>
        </w:rPr>
        <w:t xml:space="preserve"> </w:t>
      </w:r>
      <w:r w:rsidR="004A51F8" w:rsidRPr="00885D63">
        <w:rPr>
          <w:lang w:val="fr-FR"/>
        </w:rPr>
        <w:t>à coup</w:t>
      </w:r>
      <w:r w:rsidR="00711A4F">
        <w:rPr>
          <w:lang w:val="fr-FR"/>
        </w:rPr>
        <w:t>s</w:t>
      </w:r>
      <w:r w:rsidR="004A51F8" w:rsidRPr="00885D63">
        <w:rPr>
          <w:lang w:val="fr-FR"/>
        </w:rPr>
        <w:t xml:space="preserve"> de poing, de pied et de matraque, en criant </w:t>
      </w:r>
      <w:r w:rsidR="00EC00B2" w:rsidRPr="00885D63">
        <w:rPr>
          <w:lang w:val="fr-FR"/>
        </w:rPr>
        <w:t>et</w:t>
      </w:r>
      <w:r w:rsidR="00EC00B2">
        <w:rPr>
          <w:lang w:val="fr-FR"/>
        </w:rPr>
        <w:t xml:space="preserve"> en </w:t>
      </w:r>
      <w:r w:rsidR="004A51F8" w:rsidRPr="00885D63">
        <w:rPr>
          <w:lang w:val="fr-FR"/>
        </w:rPr>
        <w:t xml:space="preserve">menaçant les </w:t>
      </w:r>
      <w:r w:rsidR="00A0724C">
        <w:rPr>
          <w:lang w:val="fr-FR"/>
        </w:rPr>
        <w:t>occupants</w:t>
      </w:r>
      <w:r w:rsidR="004A51F8" w:rsidRPr="00885D63">
        <w:rPr>
          <w:lang w:val="fr-FR"/>
        </w:rPr>
        <w:t>.</w:t>
      </w:r>
    </w:p>
    <w:p w:rsidR="004A51F8" w:rsidRDefault="004A51F8" w:rsidP="004A51F8">
      <w:pPr>
        <w:pStyle w:val="ECHRPara"/>
        <w:ind w:firstLine="360"/>
        <w:rPr>
          <w:lang w:val="fr-FR"/>
        </w:rPr>
      </w:pPr>
      <w:r w:rsidRPr="004A51F8">
        <w:rPr>
          <w:lang w:val="fr-FR"/>
        </w:rPr>
        <w:t xml:space="preserve">Le jugement de première instance </w:t>
      </w:r>
      <w:r w:rsidRPr="004A51F8">
        <w:rPr>
          <w:szCs w:val="24"/>
          <w:lang w:val="fr-FR"/>
        </w:rPr>
        <w:t>relate qu</w:t>
      </w:r>
      <w:r w:rsidR="00603708">
        <w:rPr>
          <w:szCs w:val="24"/>
          <w:lang w:val="fr-FR"/>
        </w:rPr>
        <w:t>’</w:t>
      </w:r>
      <w:r w:rsidRPr="004A51F8">
        <w:rPr>
          <w:szCs w:val="24"/>
          <w:lang w:val="fr-FR"/>
        </w:rPr>
        <w:t xml:space="preserve">à </w:t>
      </w:r>
      <w:r w:rsidRPr="004A51F8">
        <w:rPr>
          <w:lang w:val="fr-FR"/>
        </w:rPr>
        <w:t>l</w:t>
      </w:r>
      <w:r w:rsidR="00603708">
        <w:rPr>
          <w:lang w:val="fr-FR"/>
        </w:rPr>
        <w:t>’</w:t>
      </w:r>
      <w:r w:rsidRPr="004A51F8">
        <w:rPr>
          <w:lang w:val="fr-FR"/>
        </w:rPr>
        <w:t xml:space="preserve">arrivée de la police le requérant était assis dos </w:t>
      </w:r>
      <w:r w:rsidR="00711A4F">
        <w:rPr>
          <w:lang w:val="fr-FR"/>
        </w:rPr>
        <w:t>contre le</w:t>
      </w:r>
      <w:r w:rsidRPr="004A51F8">
        <w:rPr>
          <w:lang w:val="fr-FR"/>
        </w:rPr>
        <w:t xml:space="preserve"> mur, à côté d</w:t>
      </w:r>
      <w:r w:rsidR="00603708">
        <w:rPr>
          <w:lang w:val="fr-FR"/>
        </w:rPr>
        <w:t>’</w:t>
      </w:r>
      <w:r w:rsidRPr="004A51F8">
        <w:rPr>
          <w:lang w:val="fr-FR"/>
        </w:rPr>
        <w:t>un groupe d</w:t>
      </w:r>
      <w:r w:rsidR="00603708">
        <w:rPr>
          <w:lang w:val="fr-FR"/>
        </w:rPr>
        <w:t>’</w:t>
      </w:r>
      <w:r w:rsidRPr="004A51F8">
        <w:rPr>
          <w:lang w:val="fr-FR"/>
        </w:rPr>
        <w:t xml:space="preserve">occupants, et </w:t>
      </w:r>
      <w:r w:rsidR="00CC4693">
        <w:rPr>
          <w:lang w:val="fr-FR"/>
        </w:rPr>
        <w:t>avait</w:t>
      </w:r>
      <w:r w:rsidR="00711A4F">
        <w:rPr>
          <w:lang w:val="fr-FR"/>
        </w:rPr>
        <w:t xml:space="preserve"> </w:t>
      </w:r>
      <w:r w:rsidRPr="004A51F8">
        <w:rPr>
          <w:lang w:val="fr-FR"/>
        </w:rPr>
        <w:t>les bras en l</w:t>
      </w:r>
      <w:r w:rsidR="00603708">
        <w:rPr>
          <w:lang w:val="fr-FR"/>
        </w:rPr>
        <w:t>’</w:t>
      </w:r>
      <w:r w:rsidRPr="004A51F8">
        <w:rPr>
          <w:lang w:val="fr-FR"/>
        </w:rPr>
        <w:t>air</w:t>
      </w:r>
      <w:r w:rsidR="00711A4F">
        <w:rPr>
          <w:lang w:val="fr-FR"/>
        </w:rPr>
        <w:t> ; qu</w:t>
      </w:r>
      <w:r w:rsidR="00603708">
        <w:rPr>
          <w:lang w:val="fr-FR"/>
        </w:rPr>
        <w:t>’</w:t>
      </w:r>
      <w:r w:rsidR="00711A4F">
        <w:rPr>
          <w:lang w:val="fr-FR"/>
        </w:rPr>
        <w:t>i</w:t>
      </w:r>
      <w:r w:rsidRPr="004A51F8">
        <w:rPr>
          <w:lang w:val="fr-FR"/>
        </w:rPr>
        <w:t xml:space="preserve">l </w:t>
      </w:r>
      <w:r w:rsidR="00711A4F">
        <w:rPr>
          <w:lang w:val="fr-FR"/>
        </w:rPr>
        <w:t xml:space="preserve">a </w:t>
      </w:r>
      <w:r w:rsidRPr="00885D63">
        <w:rPr>
          <w:lang w:val="fr-FR"/>
        </w:rPr>
        <w:t xml:space="preserve">reçu des coups surtout sur la </w:t>
      </w:r>
      <w:r w:rsidR="00885D63" w:rsidRPr="00885D63">
        <w:rPr>
          <w:lang w:val="fr-FR"/>
        </w:rPr>
        <w:t>tête</w:t>
      </w:r>
      <w:r w:rsidRPr="00885D63">
        <w:rPr>
          <w:lang w:val="fr-FR"/>
        </w:rPr>
        <w:t>, les bras et les jambes</w:t>
      </w:r>
      <w:r w:rsidR="00A0724C">
        <w:rPr>
          <w:lang w:val="fr-FR"/>
        </w:rPr>
        <w:t>,</w:t>
      </w:r>
      <w:r w:rsidRPr="00885D63">
        <w:rPr>
          <w:lang w:val="fr-FR"/>
        </w:rPr>
        <w:t xml:space="preserve"> qui </w:t>
      </w:r>
      <w:r w:rsidR="00EC00B2">
        <w:rPr>
          <w:lang w:val="fr-FR"/>
        </w:rPr>
        <w:t xml:space="preserve">lui </w:t>
      </w:r>
      <w:r w:rsidR="00711A4F">
        <w:rPr>
          <w:lang w:val="fr-FR"/>
        </w:rPr>
        <w:t xml:space="preserve">ont </w:t>
      </w:r>
      <w:r w:rsidRPr="00885D63">
        <w:rPr>
          <w:lang w:val="fr-FR"/>
        </w:rPr>
        <w:t>caus</w:t>
      </w:r>
      <w:r w:rsidR="00711A4F">
        <w:rPr>
          <w:lang w:val="fr-FR"/>
        </w:rPr>
        <w:t>é</w:t>
      </w:r>
      <w:r w:rsidRPr="00885D63">
        <w:rPr>
          <w:lang w:val="fr-FR"/>
        </w:rPr>
        <w:t xml:space="preserve"> de multiples fractures du cubitus droit, de la </w:t>
      </w:r>
      <w:r w:rsidR="00885D63" w:rsidRPr="00885D63">
        <w:rPr>
          <w:lang w:val="fr-FR"/>
        </w:rPr>
        <w:t>fibule</w:t>
      </w:r>
      <w:r w:rsidRPr="00885D63">
        <w:rPr>
          <w:lang w:val="fr-FR"/>
        </w:rPr>
        <w:t xml:space="preserve"> droite et de plusieurs côtes</w:t>
      </w:r>
      <w:r w:rsidR="00711A4F">
        <w:rPr>
          <w:lang w:val="fr-FR"/>
        </w:rPr>
        <w:t> ; que c</w:t>
      </w:r>
      <w:r w:rsidRPr="004A51F8">
        <w:rPr>
          <w:lang w:val="fr-FR"/>
        </w:rPr>
        <w:t xml:space="preserve">es blessures </w:t>
      </w:r>
      <w:r w:rsidR="00711A4F">
        <w:rPr>
          <w:lang w:val="fr-FR"/>
        </w:rPr>
        <w:t xml:space="preserve">ont </w:t>
      </w:r>
      <w:r w:rsidR="001A6957">
        <w:rPr>
          <w:lang w:val="fr-FR"/>
        </w:rPr>
        <w:t>entraîné</w:t>
      </w:r>
      <w:r w:rsidRPr="004A51F8">
        <w:rPr>
          <w:lang w:val="fr-FR"/>
        </w:rPr>
        <w:t xml:space="preserve"> une hospitalisation de quatre jours, une incapacité temporaire </w:t>
      </w:r>
      <w:r w:rsidR="00EC00B2">
        <w:rPr>
          <w:lang w:val="fr-FR"/>
        </w:rPr>
        <w:t>supérieure à</w:t>
      </w:r>
      <w:r w:rsidR="003B0F33">
        <w:rPr>
          <w:lang w:val="fr-FR"/>
        </w:rPr>
        <w:t xml:space="preserve"> </w:t>
      </w:r>
      <w:r w:rsidRPr="004A51F8">
        <w:rPr>
          <w:lang w:val="fr-FR"/>
        </w:rPr>
        <w:t>quarante jours</w:t>
      </w:r>
      <w:r w:rsidR="00711A4F">
        <w:rPr>
          <w:lang w:val="fr-FR"/>
        </w:rPr>
        <w:t xml:space="preserve"> </w:t>
      </w:r>
      <w:r w:rsidRPr="004A51F8">
        <w:rPr>
          <w:lang w:val="fr-FR"/>
        </w:rPr>
        <w:t>et un</w:t>
      </w:r>
      <w:r w:rsidR="00A0724C">
        <w:rPr>
          <w:lang w:val="fr-FR"/>
        </w:rPr>
        <w:t>e</w:t>
      </w:r>
      <w:r w:rsidRPr="004A51F8">
        <w:rPr>
          <w:lang w:val="fr-FR"/>
        </w:rPr>
        <w:t xml:space="preserve"> faibl</w:t>
      </w:r>
      <w:r w:rsidR="00A0724C">
        <w:rPr>
          <w:lang w:val="fr-FR"/>
        </w:rPr>
        <w:t>esse</w:t>
      </w:r>
      <w:r w:rsidRPr="004A51F8">
        <w:rPr>
          <w:lang w:val="fr-FR"/>
        </w:rPr>
        <w:t xml:space="preserve"> permanent</w:t>
      </w:r>
      <w:r w:rsidR="00A0724C">
        <w:rPr>
          <w:lang w:val="fr-FR"/>
        </w:rPr>
        <w:t>e</w:t>
      </w:r>
      <w:r w:rsidRPr="004A51F8">
        <w:rPr>
          <w:lang w:val="fr-FR"/>
        </w:rPr>
        <w:t xml:space="preserve"> du bras </w:t>
      </w:r>
      <w:r w:rsidR="00711A4F">
        <w:rPr>
          <w:lang w:val="fr-FR"/>
        </w:rPr>
        <w:t xml:space="preserve">droit </w:t>
      </w:r>
      <w:r w:rsidRPr="004A51F8">
        <w:rPr>
          <w:lang w:val="fr-FR"/>
        </w:rPr>
        <w:t>et de la jambe droit</w:t>
      </w:r>
      <w:r w:rsidR="00711A4F">
        <w:rPr>
          <w:lang w:val="fr-FR"/>
        </w:rPr>
        <w:t>e</w:t>
      </w:r>
      <w:r w:rsidRPr="004A51F8">
        <w:rPr>
          <w:lang w:val="fr-FR"/>
        </w:rPr>
        <w:t xml:space="preserve"> (</w:t>
      </w:r>
      <w:r w:rsidR="00885D63" w:rsidRPr="00AC0DAF">
        <w:rPr>
          <w:lang w:val="fr-FR"/>
        </w:rPr>
        <w:t>paragraphes</w:t>
      </w:r>
      <w:r w:rsidR="007D6676" w:rsidRPr="00AC0DAF">
        <w:rPr>
          <w:lang w:val="fr-FR"/>
        </w:rPr>
        <w:t xml:space="preserve"> 34-35</w:t>
      </w:r>
      <w:r w:rsidRPr="00AC0DAF">
        <w:rPr>
          <w:lang w:val="fr-FR"/>
        </w:rPr>
        <w:t xml:space="preserve"> </w:t>
      </w:r>
      <w:r w:rsidR="00885D63" w:rsidRPr="00AC0DAF">
        <w:rPr>
          <w:lang w:val="fr-FR"/>
        </w:rPr>
        <w:t>ci-dessus</w:t>
      </w:r>
      <w:r w:rsidRPr="004A51F8">
        <w:rPr>
          <w:lang w:val="fr-FR"/>
        </w:rPr>
        <w:t>).</w:t>
      </w:r>
    </w:p>
    <w:p w:rsidR="0032468C" w:rsidRDefault="005C322C" w:rsidP="004A51F8">
      <w:pPr>
        <w:pStyle w:val="ECHRPara"/>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166</w:t>
      </w:r>
      <w:r>
        <w:rPr>
          <w:lang w:val="fr-FR"/>
        </w:rPr>
        <w:fldChar w:fldCharType="end"/>
      </w:r>
      <w:r>
        <w:rPr>
          <w:lang w:val="fr-FR"/>
        </w:rPr>
        <w:t xml:space="preserve">.  Les allégations du requérant </w:t>
      </w:r>
      <w:r w:rsidR="002E0BD1">
        <w:rPr>
          <w:lang w:val="fr-FR"/>
        </w:rPr>
        <w:t>concernant l</w:t>
      </w:r>
      <w:r w:rsidR="00603708">
        <w:rPr>
          <w:lang w:val="fr-FR"/>
        </w:rPr>
        <w:t>’</w:t>
      </w:r>
      <w:r w:rsidR="002E0BD1">
        <w:rPr>
          <w:lang w:val="fr-FR"/>
        </w:rPr>
        <w:t>agression dont il a été victime et le</w:t>
      </w:r>
      <w:r w:rsidR="00FA1ACC">
        <w:rPr>
          <w:lang w:val="fr-FR"/>
        </w:rPr>
        <w:t>s</w:t>
      </w:r>
      <w:r w:rsidR="002E0BD1">
        <w:rPr>
          <w:lang w:val="fr-FR"/>
        </w:rPr>
        <w:t xml:space="preserve"> séquelles </w:t>
      </w:r>
      <w:r w:rsidR="00A0724C">
        <w:rPr>
          <w:lang w:val="fr-FR"/>
        </w:rPr>
        <w:t>que celle-ci a entraînées</w:t>
      </w:r>
      <w:r w:rsidR="002E0BD1">
        <w:rPr>
          <w:lang w:val="fr-FR"/>
        </w:rPr>
        <w:t xml:space="preserve"> </w:t>
      </w:r>
      <w:r w:rsidR="007D6676">
        <w:rPr>
          <w:lang w:val="fr-FR"/>
        </w:rPr>
        <w:t>ont</w:t>
      </w:r>
      <w:r w:rsidR="004D2B27">
        <w:rPr>
          <w:lang w:val="fr-FR"/>
        </w:rPr>
        <w:t xml:space="preserve"> ainsi</w:t>
      </w:r>
      <w:r>
        <w:rPr>
          <w:lang w:val="fr-FR"/>
        </w:rPr>
        <w:t xml:space="preserve"> </w:t>
      </w:r>
      <w:r w:rsidR="004D2B27">
        <w:rPr>
          <w:lang w:val="fr-FR"/>
        </w:rPr>
        <w:t xml:space="preserve">été </w:t>
      </w:r>
      <w:r>
        <w:rPr>
          <w:lang w:val="fr-FR"/>
        </w:rPr>
        <w:t xml:space="preserve">confirmées </w:t>
      </w:r>
      <w:r w:rsidR="00A0724C">
        <w:rPr>
          <w:lang w:val="fr-FR"/>
        </w:rPr>
        <w:t xml:space="preserve">dans </w:t>
      </w:r>
      <w:r>
        <w:rPr>
          <w:lang w:val="fr-FR"/>
        </w:rPr>
        <w:t>les décisions</w:t>
      </w:r>
      <w:r w:rsidR="00EC00B2">
        <w:rPr>
          <w:lang w:val="fr-FR"/>
        </w:rPr>
        <w:t xml:space="preserve"> judiciaires</w:t>
      </w:r>
      <w:r>
        <w:rPr>
          <w:lang w:val="fr-FR"/>
        </w:rPr>
        <w:t xml:space="preserve"> </w:t>
      </w:r>
      <w:r w:rsidR="007D6676">
        <w:rPr>
          <w:lang w:val="fr-FR"/>
        </w:rPr>
        <w:t>internes</w:t>
      </w:r>
      <w:r>
        <w:rPr>
          <w:lang w:val="fr-FR"/>
        </w:rPr>
        <w:t>.</w:t>
      </w:r>
    </w:p>
    <w:p w:rsidR="005C322C" w:rsidRPr="004A51F8" w:rsidRDefault="007833B3" w:rsidP="004A51F8">
      <w:pPr>
        <w:pStyle w:val="ECHRPara"/>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167</w:t>
      </w:r>
      <w:r>
        <w:rPr>
          <w:lang w:val="fr-FR"/>
        </w:rPr>
        <w:fldChar w:fldCharType="end"/>
      </w:r>
      <w:r>
        <w:rPr>
          <w:lang w:val="fr-FR"/>
        </w:rPr>
        <w:t>.  </w:t>
      </w:r>
      <w:r w:rsidR="00EC00B2">
        <w:rPr>
          <w:lang w:val="fr-FR"/>
        </w:rPr>
        <w:t>A</w:t>
      </w:r>
      <w:r w:rsidR="007D6676">
        <w:rPr>
          <w:lang w:val="fr-FR"/>
        </w:rPr>
        <w:t>u demeurant</w:t>
      </w:r>
      <w:r w:rsidR="005C322C">
        <w:rPr>
          <w:lang w:val="fr-FR"/>
        </w:rPr>
        <w:t xml:space="preserve">, </w:t>
      </w:r>
      <w:r w:rsidR="00EC00B2">
        <w:rPr>
          <w:lang w:val="fr-FR"/>
        </w:rPr>
        <w:t xml:space="preserve">le Gouvernement </w:t>
      </w:r>
      <w:r w:rsidR="005C322C">
        <w:rPr>
          <w:lang w:val="fr-FR"/>
        </w:rPr>
        <w:t>a déclaré</w:t>
      </w:r>
      <w:r w:rsidR="00EC00B2">
        <w:rPr>
          <w:lang w:val="fr-FR"/>
        </w:rPr>
        <w:t xml:space="preserve"> </w:t>
      </w:r>
      <w:r w:rsidR="005C322C">
        <w:rPr>
          <w:lang w:val="fr-FR"/>
        </w:rPr>
        <w:t>souscrire</w:t>
      </w:r>
      <w:r w:rsidR="00EC00B2">
        <w:rPr>
          <w:lang w:val="fr-FR"/>
        </w:rPr>
        <w:t xml:space="preserve">, en général, </w:t>
      </w:r>
      <w:r w:rsidR="005C322C">
        <w:rPr>
          <w:lang w:val="fr-FR"/>
        </w:rPr>
        <w:t>« au jugement des juridictions nationales</w:t>
      </w:r>
      <w:r w:rsidR="00A0724C">
        <w:rPr>
          <w:lang w:val="fr-FR"/>
        </w:rPr>
        <w:t>,</w:t>
      </w:r>
      <w:r w:rsidR="005C322C">
        <w:rPr>
          <w:lang w:val="fr-FR"/>
        </w:rPr>
        <w:t xml:space="preserve"> qui ont très durement stigmatisé le comportement des agents de police » lors de </w:t>
      </w:r>
      <w:r w:rsidR="004D2B27">
        <w:rPr>
          <w:lang w:val="fr-FR"/>
        </w:rPr>
        <w:t>leur irruption</w:t>
      </w:r>
      <w:r w:rsidR="005C322C">
        <w:rPr>
          <w:lang w:val="fr-FR"/>
        </w:rPr>
        <w:t xml:space="preserve"> dans l</w:t>
      </w:r>
      <w:r w:rsidR="00603708">
        <w:rPr>
          <w:lang w:val="fr-FR"/>
        </w:rPr>
        <w:t>’</w:t>
      </w:r>
      <w:r w:rsidR="005C322C">
        <w:rPr>
          <w:lang w:val="fr-FR"/>
        </w:rPr>
        <w:t>école Diaz-Pertini.</w:t>
      </w:r>
    </w:p>
    <w:p w:rsidR="00053985" w:rsidRDefault="00885D63" w:rsidP="00053985">
      <w:pPr>
        <w:pStyle w:val="ECHRPara"/>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168</w:t>
      </w:r>
      <w:r>
        <w:rPr>
          <w:lang w:val="fr-FR"/>
        </w:rPr>
        <w:fldChar w:fldCharType="end"/>
      </w:r>
      <w:r>
        <w:rPr>
          <w:lang w:val="fr-FR"/>
        </w:rPr>
        <w:t>.  </w:t>
      </w:r>
      <w:r w:rsidR="00805875">
        <w:rPr>
          <w:lang w:val="fr-FR"/>
        </w:rPr>
        <w:t>Dès lors,</w:t>
      </w:r>
      <w:r w:rsidR="005C322C">
        <w:rPr>
          <w:lang w:val="fr-FR"/>
        </w:rPr>
        <w:t xml:space="preserve"> et c</w:t>
      </w:r>
      <w:r w:rsidR="004A51F8" w:rsidRPr="004A51F8">
        <w:rPr>
          <w:lang w:val="fr-FR"/>
        </w:rPr>
        <w:t xml:space="preserve">ompte tenu </w:t>
      </w:r>
      <w:r w:rsidR="00805875">
        <w:rPr>
          <w:lang w:val="fr-FR"/>
        </w:rPr>
        <w:t xml:space="preserve">également </w:t>
      </w:r>
      <w:r w:rsidR="004A51F8" w:rsidRPr="004A51F8">
        <w:rPr>
          <w:lang w:val="fr-FR"/>
        </w:rPr>
        <w:t>du caractère systématique et généralisé de l</w:t>
      </w:r>
      <w:r w:rsidR="00603708">
        <w:rPr>
          <w:lang w:val="fr-FR"/>
        </w:rPr>
        <w:t>’</w:t>
      </w:r>
      <w:r w:rsidR="004A51F8" w:rsidRPr="004A51F8">
        <w:rPr>
          <w:lang w:val="fr-FR"/>
        </w:rPr>
        <w:t>agression physique et verbale dont les occupants</w:t>
      </w:r>
      <w:r w:rsidR="007833B3">
        <w:rPr>
          <w:lang w:val="fr-FR"/>
        </w:rPr>
        <w:t xml:space="preserve"> de l</w:t>
      </w:r>
      <w:r w:rsidR="00603708">
        <w:rPr>
          <w:lang w:val="fr-FR"/>
        </w:rPr>
        <w:t>’</w:t>
      </w:r>
      <w:r w:rsidR="007833B3">
        <w:rPr>
          <w:lang w:val="fr-FR"/>
        </w:rPr>
        <w:t>école Diaz-Pertini</w:t>
      </w:r>
      <w:r w:rsidR="004A51F8" w:rsidRPr="004A51F8">
        <w:rPr>
          <w:lang w:val="fr-FR"/>
        </w:rPr>
        <w:t xml:space="preserve"> ont fait l</w:t>
      </w:r>
      <w:r w:rsidR="00603708">
        <w:rPr>
          <w:lang w:val="fr-FR"/>
        </w:rPr>
        <w:t>’</w:t>
      </w:r>
      <w:r w:rsidR="004A51F8" w:rsidRPr="004A51F8">
        <w:rPr>
          <w:lang w:val="fr-FR"/>
        </w:rPr>
        <w:t>objet</w:t>
      </w:r>
      <w:r w:rsidR="00897330">
        <w:rPr>
          <w:lang w:val="fr-FR"/>
        </w:rPr>
        <w:t xml:space="preserve"> (</w:t>
      </w:r>
      <w:r w:rsidR="00CA601B" w:rsidRPr="00AC0DAF">
        <w:rPr>
          <w:i/>
          <w:lang w:val="fr-FR"/>
        </w:rPr>
        <w:t>Dedovski et autres c. Russie</w:t>
      </w:r>
      <w:r w:rsidR="00CA601B" w:rsidRPr="00AC0DAF">
        <w:rPr>
          <w:lang w:val="fr-FR"/>
        </w:rPr>
        <w:t xml:space="preserve"> (n</w:t>
      </w:r>
      <w:r w:rsidR="00CA601B" w:rsidRPr="00AC0DAF">
        <w:rPr>
          <w:vertAlign w:val="superscript"/>
          <w:lang w:val="fr-FR"/>
        </w:rPr>
        <w:t>o</w:t>
      </w:r>
      <w:r w:rsidR="00CA601B" w:rsidRPr="00AC0DAF">
        <w:rPr>
          <w:lang w:val="fr-FR"/>
        </w:rPr>
        <w:t xml:space="preserve"> 7178/03, </w:t>
      </w:r>
      <w:r w:rsidR="00EA4568" w:rsidRPr="00AC0DAF">
        <w:rPr>
          <w:lang w:val="fr-FR"/>
        </w:rPr>
        <w:t>§§</w:t>
      </w:r>
      <w:r w:rsidR="00EA4568">
        <w:rPr>
          <w:lang w:val="fr-FR"/>
        </w:rPr>
        <w:t> </w:t>
      </w:r>
      <w:r w:rsidR="00CA601B" w:rsidRPr="00AC0DAF">
        <w:rPr>
          <w:lang w:val="fr-FR"/>
        </w:rPr>
        <w:t>77-79, CEDH 2008</w:t>
      </w:r>
      <w:r w:rsidR="00CA601B" w:rsidRPr="00EC00B2">
        <w:rPr>
          <w:lang w:val="fr-FR"/>
        </w:rPr>
        <w:t>),</w:t>
      </w:r>
      <w:r w:rsidR="004A51F8" w:rsidRPr="004A51F8">
        <w:rPr>
          <w:lang w:val="fr-FR"/>
        </w:rPr>
        <w:t xml:space="preserve"> l</w:t>
      </w:r>
      <w:r w:rsidR="00EC00B2">
        <w:rPr>
          <w:lang w:val="fr-FR"/>
        </w:rPr>
        <w:t xml:space="preserve">a Cour juge </w:t>
      </w:r>
      <w:r w:rsidR="00A0724C">
        <w:rPr>
          <w:lang w:val="fr-FR"/>
        </w:rPr>
        <w:t xml:space="preserve">établies </w:t>
      </w:r>
      <w:r w:rsidR="00EA4568">
        <w:rPr>
          <w:lang w:val="fr-FR"/>
        </w:rPr>
        <w:t xml:space="preserve">tant </w:t>
      </w:r>
      <w:r w:rsidR="00805875" w:rsidRPr="004A51F8">
        <w:rPr>
          <w:lang w:val="fr-FR"/>
        </w:rPr>
        <w:t>l</w:t>
      </w:r>
      <w:r w:rsidR="00603708">
        <w:rPr>
          <w:lang w:val="fr-FR"/>
        </w:rPr>
        <w:t>’</w:t>
      </w:r>
      <w:r w:rsidR="00805875" w:rsidRPr="004A51F8">
        <w:rPr>
          <w:lang w:val="fr-FR"/>
        </w:rPr>
        <w:t xml:space="preserve">agression physique et verbale </w:t>
      </w:r>
      <w:r w:rsidR="007833B3">
        <w:rPr>
          <w:lang w:val="fr-FR"/>
        </w:rPr>
        <w:t>dont</w:t>
      </w:r>
      <w:r w:rsidR="004A51F8" w:rsidRPr="00885D63">
        <w:rPr>
          <w:lang w:val="fr-FR"/>
        </w:rPr>
        <w:t xml:space="preserve"> le requérant </w:t>
      </w:r>
      <w:r w:rsidR="00C50062">
        <w:rPr>
          <w:lang w:val="fr-FR"/>
        </w:rPr>
        <w:t xml:space="preserve">se plaint </w:t>
      </w:r>
      <w:r w:rsidR="004A51F8" w:rsidRPr="00885D63">
        <w:rPr>
          <w:lang w:val="fr-FR"/>
        </w:rPr>
        <w:t xml:space="preserve">que </w:t>
      </w:r>
      <w:r w:rsidR="00805875">
        <w:rPr>
          <w:lang w:val="fr-FR"/>
        </w:rPr>
        <w:t>les</w:t>
      </w:r>
      <w:r w:rsidR="00C50062">
        <w:rPr>
          <w:lang w:val="fr-FR"/>
        </w:rPr>
        <w:t xml:space="preserve"> </w:t>
      </w:r>
      <w:r w:rsidR="004A51F8" w:rsidRPr="00885D63">
        <w:rPr>
          <w:lang w:val="fr-FR"/>
        </w:rPr>
        <w:t>séquelles</w:t>
      </w:r>
      <w:r w:rsidR="00805875">
        <w:rPr>
          <w:lang w:val="fr-FR"/>
        </w:rPr>
        <w:t xml:space="preserve"> </w:t>
      </w:r>
      <w:r w:rsidR="00A0724C">
        <w:rPr>
          <w:lang w:val="fr-FR"/>
        </w:rPr>
        <w:t xml:space="preserve">que </w:t>
      </w:r>
      <w:r w:rsidR="00805875">
        <w:rPr>
          <w:lang w:val="fr-FR"/>
        </w:rPr>
        <w:t>celle-ci</w:t>
      </w:r>
      <w:r w:rsidR="00A0724C">
        <w:rPr>
          <w:lang w:val="fr-FR"/>
        </w:rPr>
        <w:t xml:space="preserve"> a entraînées</w:t>
      </w:r>
      <w:r w:rsidR="004A51F8" w:rsidRPr="00885D63">
        <w:rPr>
          <w:lang w:val="fr-FR"/>
        </w:rPr>
        <w:t>.</w:t>
      </w:r>
    </w:p>
    <w:p w:rsidR="00315227" w:rsidRDefault="00805875" w:rsidP="00315227">
      <w:pPr>
        <w:autoSpaceDE w:val="0"/>
        <w:autoSpaceDN w:val="0"/>
        <w:adjustRightInd w:val="0"/>
        <w:ind w:firstLine="284"/>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169</w:t>
      </w:r>
      <w:r>
        <w:rPr>
          <w:lang w:val="fr-FR"/>
        </w:rPr>
        <w:fldChar w:fldCharType="end"/>
      </w:r>
      <w:r>
        <w:rPr>
          <w:lang w:val="fr-FR"/>
        </w:rPr>
        <w:t>.  </w:t>
      </w:r>
      <w:r w:rsidR="00315227">
        <w:rPr>
          <w:lang w:val="fr-FR"/>
        </w:rPr>
        <w:t>Dans ces conditions</w:t>
      </w:r>
      <w:r w:rsidR="00315227" w:rsidRPr="00315227">
        <w:rPr>
          <w:lang w:val="fr-FR"/>
        </w:rPr>
        <w:t xml:space="preserve">, </w:t>
      </w:r>
      <w:r w:rsidR="00EC00B2">
        <w:rPr>
          <w:lang w:val="fr-FR"/>
        </w:rPr>
        <w:t>elle</w:t>
      </w:r>
      <w:r w:rsidR="00315227" w:rsidRPr="00315227">
        <w:rPr>
          <w:lang w:val="fr-FR"/>
        </w:rPr>
        <w:t xml:space="preserve"> </w:t>
      </w:r>
      <w:r w:rsidR="00315227">
        <w:rPr>
          <w:lang w:val="fr-FR"/>
        </w:rPr>
        <w:t xml:space="preserve">estime que le grief </w:t>
      </w:r>
      <w:r w:rsidR="00FA1ACC">
        <w:rPr>
          <w:lang w:val="fr-FR"/>
        </w:rPr>
        <w:t>tiré de la violation de l</w:t>
      </w:r>
      <w:r w:rsidR="00603708">
        <w:rPr>
          <w:lang w:val="fr-FR"/>
        </w:rPr>
        <w:t>’</w:t>
      </w:r>
      <w:r w:rsidR="00FA1ACC">
        <w:rPr>
          <w:lang w:val="fr-FR"/>
        </w:rPr>
        <w:t>article 3</w:t>
      </w:r>
      <w:r w:rsidR="00315227">
        <w:rPr>
          <w:lang w:val="fr-FR"/>
        </w:rPr>
        <w:t xml:space="preserve"> est suffisamment caractérisé et qu</w:t>
      </w:r>
      <w:r w:rsidR="00603708">
        <w:rPr>
          <w:lang w:val="fr-FR"/>
        </w:rPr>
        <w:t>’</w:t>
      </w:r>
      <w:r w:rsidR="00315227">
        <w:rPr>
          <w:lang w:val="fr-FR"/>
        </w:rPr>
        <w:t>il n</w:t>
      </w:r>
      <w:r w:rsidR="00603708">
        <w:rPr>
          <w:lang w:val="fr-FR"/>
        </w:rPr>
        <w:t>’</w:t>
      </w:r>
      <w:r w:rsidR="00315227">
        <w:rPr>
          <w:lang w:val="fr-FR"/>
        </w:rPr>
        <w:t xml:space="preserve">y a pas lieu de </w:t>
      </w:r>
      <w:r w:rsidR="00315227" w:rsidRPr="00315227">
        <w:rPr>
          <w:lang w:val="fr-FR"/>
        </w:rPr>
        <w:t>se pencher sur la question de</w:t>
      </w:r>
      <w:r w:rsidR="00315227">
        <w:rPr>
          <w:lang w:val="fr-FR"/>
        </w:rPr>
        <w:t xml:space="preserve"> la preuve des</w:t>
      </w:r>
      <w:r w:rsidR="00315227" w:rsidRPr="00315227">
        <w:rPr>
          <w:lang w:val="fr-FR"/>
        </w:rPr>
        <w:t xml:space="preserve"> </w:t>
      </w:r>
      <w:r w:rsidR="00315227">
        <w:rPr>
          <w:lang w:val="fr-FR"/>
        </w:rPr>
        <w:t>autres</w:t>
      </w:r>
      <w:r w:rsidR="00315227" w:rsidRPr="00315227">
        <w:rPr>
          <w:lang w:val="fr-FR"/>
        </w:rPr>
        <w:t xml:space="preserve"> allégations </w:t>
      </w:r>
      <w:r w:rsidR="00315227">
        <w:rPr>
          <w:lang w:val="fr-FR"/>
        </w:rPr>
        <w:t xml:space="preserve">du requérant (positions humiliantes, impossibilité de </w:t>
      </w:r>
      <w:r w:rsidR="00315227" w:rsidRPr="005A3826">
        <w:rPr>
          <w:szCs w:val="24"/>
          <w:lang w:val="fr-FR" w:eastAsia="en-GB"/>
        </w:rPr>
        <w:t xml:space="preserve">prendre contact avec un avocat et/ou </w:t>
      </w:r>
      <w:r w:rsidR="00315227" w:rsidRPr="005A3826">
        <w:rPr>
          <w:color w:val="000000"/>
          <w:szCs w:val="24"/>
          <w:lang w:val="fr-FR" w:eastAsia="en-GB"/>
        </w:rPr>
        <w:t>une personne de confiance</w:t>
      </w:r>
      <w:r w:rsidR="00315227">
        <w:rPr>
          <w:color w:val="000000"/>
          <w:szCs w:val="24"/>
          <w:lang w:val="fr-FR" w:eastAsia="en-GB"/>
        </w:rPr>
        <w:t xml:space="preserve">, </w:t>
      </w:r>
      <w:r w:rsidR="00315227" w:rsidRPr="005A3826">
        <w:rPr>
          <w:color w:val="000000"/>
          <w:szCs w:val="24"/>
          <w:lang w:val="fr-FR" w:eastAsia="en-GB"/>
        </w:rPr>
        <w:t>absence</w:t>
      </w:r>
      <w:r w:rsidR="00315227" w:rsidRPr="005A3826">
        <w:rPr>
          <w:szCs w:val="24"/>
          <w:lang w:val="fr-FR" w:eastAsia="en-GB"/>
        </w:rPr>
        <w:t xml:space="preserve"> de soins adéquats en temps utile</w:t>
      </w:r>
      <w:r w:rsidR="00315227">
        <w:rPr>
          <w:szCs w:val="24"/>
          <w:lang w:val="fr-FR" w:eastAsia="en-GB"/>
        </w:rPr>
        <w:t>,</w:t>
      </w:r>
      <w:r w:rsidR="00315227" w:rsidRPr="005A3826">
        <w:rPr>
          <w:szCs w:val="24"/>
          <w:lang w:val="fr-FR" w:eastAsia="en-GB"/>
        </w:rPr>
        <w:t xml:space="preserve"> présence d</w:t>
      </w:r>
      <w:r w:rsidR="00603708">
        <w:rPr>
          <w:szCs w:val="24"/>
          <w:lang w:val="fr-FR" w:eastAsia="en-GB"/>
        </w:rPr>
        <w:t>’</w:t>
      </w:r>
      <w:r w:rsidR="00315227" w:rsidRPr="005A3826">
        <w:rPr>
          <w:szCs w:val="24"/>
          <w:lang w:val="fr-FR" w:eastAsia="en-GB"/>
        </w:rPr>
        <w:t>agents des forces de l</w:t>
      </w:r>
      <w:r w:rsidR="00603708">
        <w:rPr>
          <w:szCs w:val="24"/>
          <w:lang w:val="fr-FR" w:eastAsia="en-GB"/>
        </w:rPr>
        <w:t>’</w:t>
      </w:r>
      <w:r w:rsidR="00315227">
        <w:rPr>
          <w:szCs w:val="24"/>
          <w:lang w:val="fr-FR" w:eastAsia="en-GB"/>
        </w:rPr>
        <w:t>ordre pendant l</w:t>
      </w:r>
      <w:r w:rsidR="00603708">
        <w:rPr>
          <w:szCs w:val="24"/>
          <w:lang w:val="fr-FR" w:eastAsia="en-GB"/>
        </w:rPr>
        <w:t>’</w:t>
      </w:r>
      <w:r w:rsidR="00315227" w:rsidRPr="005A3826">
        <w:rPr>
          <w:szCs w:val="24"/>
          <w:lang w:val="fr-FR" w:eastAsia="en-GB"/>
        </w:rPr>
        <w:t>examen médical</w:t>
      </w:r>
      <w:r w:rsidR="00315227">
        <w:rPr>
          <w:szCs w:val="24"/>
          <w:lang w:val="fr-FR" w:eastAsia="en-GB"/>
        </w:rPr>
        <w:t>)</w:t>
      </w:r>
      <w:r w:rsidR="00315227">
        <w:rPr>
          <w:lang w:val="fr-FR"/>
        </w:rPr>
        <w:t>.</w:t>
      </w:r>
    </w:p>
    <w:p w:rsidR="00053985" w:rsidRDefault="00053985" w:rsidP="000B5793">
      <w:pPr>
        <w:pStyle w:val="ECHRHeading5"/>
        <w:rPr>
          <w:lang w:val="fr-FR"/>
        </w:rPr>
      </w:pPr>
      <w:r>
        <w:rPr>
          <w:lang w:val="fr-FR"/>
        </w:rPr>
        <w:t>ii.</w:t>
      </w:r>
      <w:r w:rsidR="004D2B27">
        <w:rPr>
          <w:lang w:val="fr-FR"/>
        </w:rPr>
        <w:t>  </w:t>
      </w:r>
      <w:r w:rsidR="00876FF5">
        <w:rPr>
          <w:lang w:val="fr-FR"/>
        </w:rPr>
        <w:t>Sur la q</w:t>
      </w:r>
      <w:r w:rsidRPr="00C50062">
        <w:rPr>
          <w:lang w:val="fr-FR"/>
        </w:rPr>
        <w:t>ualification juridique des traitements avérés</w:t>
      </w:r>
    </w:p>
    <w:p w:rsidR="0032468C" w:rsidRDefault="002508AF" w:rsidP="00951EBA">
      <w:pPr>
        <w:pStyle w:val="ECHRPara"/>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170</w:t>
      </w:r>
      <w:r>
        <w:rPr>
          <w:lang w:val="fr-FR"/>
        </w:rPr>
        <w:fldChar w:fldCharType="end"/>
      </w:r>
      <w:r>
        <w:rPr>
          <w:lang w:val="fr-FR"/>
        </w:rPr>
        <w:t>.  </w:t>
      </w:r>
      <w:r w:rsidRPr="004A51F8">
        <w:rPr>
          <w:lang w:val="fr-FR"/>
        </w:rPr>
        <w:t>Eu ég</w:t>
      </w:r>
      <w:r w:rsidR="00E27178">
        <w:rPr>
          <w:lang w:val="fr-FR"/>
        </w:rPr>
        <w:t>ard aux critères découlant de sa</w:t>
      </w:r>
      <w:r w:rsidRPr="004A51F8">
        <w:rPr>
          <w:lang w:val="fr-FR"/>
        </w:rPr>
        <w:t xml:space="preserve"> jurisprudence bien établie (</w:t>
      </w:r>
      <w:r w:rsidRPr="00AC0DAF">
        <w:rPr>
          <w:lang w:val="fr-FR"/>
        </w:rPr>
        <w:t>voir, parmi beaucoup d</w:t>
      </w:r>
      <w:r w:rsidR="00603708">
        <w:rPr>
          <w:lang w:val="fr-FR"/>
        </w:rPr>
        <w:t>’</w:t>
      </w:r>
      <w:r w:rsidRPr="00AC0DAF">
        <w:rPr>
          <w:lang w:val="fr-FR"/>
        </w:rPr>
        <w:t xml:space="preserve">autres, </w:t>
      </w:r>
      <w:r w:rsidRPr="00AC0DAF">
        <w:rPr>
          <w:i/>
          <w:lang w:val="fr-FR"/>
        </w:rPr>
        <w:t>Selmouni</w:t>
      </w:r>
      <w:r w:rsidR="00C15446" w:rsidRPr="00AC0DAF">
        <w:rPr>
          <w:lang w:val="fr-FR"/>
        </w:rPr>
        <w:t>, précité,</w:t>
      </w:r>
      <w:r w:rsidRPr="00AC0DAF">
        <w:rPr>
          <w:i/>
          <w:lang w:val="fr-FR"/>
        </w:rPr>
        <w:t xml:space="preserve"> </w:t>
      </w:r>
      <w:r w:rsidRPr="00AC0DAF">
        <w:rPr>
          <w:lang w:val="fr-FR"/>
        </w:rPr>
        <w:t>§ 104</w:t>
      </w:r>
      <w:r w:rsidR="00070C43">
        <w:rPr>
          <w:lang w:val="fr-FR"/>
        </w:rPr>
        <w:t>,</w:t>
      </w:r>
      <w:r w:rsidRPr="00AC0DAF">
        <w:rPr>
          <w:i/>
          <w:lang w:val="fr-FR"/>
        </w:rPr>
        <w:t xml:space="preserve"> </w:t>
      </w:r>
      <w:r w:rsidR="003B0F33" w:rsidRPr="00AC0DAF">
        <w:rPr>
          <w:i/>
          <w:lang w:val="fr-FR"/>
        </w:rPr>
        <w:t>Labita</w:t>
      </w:r>
      <w:r w:rsidR="00CC2A82" w:rsidRPr="00AC0DAF">
        <w:rPr>
          <w:lang w:val="fr-FR"/>
        </w:rPr>
        <w:t>, précité,</w:t>
      </w:r>
      <w:r w:rsidR="003B0F33" w:rsidRPr="00AC0DAF">
        <w:rPr>
          <w:i/>
          <w:lang w:val="fr-FR"/>
        </w:rPr>
        <w:t xml:space="preserve"> </w:t>
      </w:r>
      <w:r w:rsidR="00070C43" w:rsidRPr="00AC0DAF">
        <w:rPr>
          <w:lang w:val="fr-FR"/>
        </w:rPr>
        <w:t>§</w:t>
      </w:r>
      <w:r w:rsidR="00070C43">
        <w:rPr>
          <w:lang w:val="fr-FR"/>
        </w:rPr>
        <w:t> </w:t>
      </w:r>
      <w:r w:rsidR="003B0F33" w:rsidRPr="00AC0DAF">
        <w:rPr>
          <w:lang w:val="fr-FR"/>
        </w:rPr>
        <w:t>120</w:t>
      </w:r>
      <w:r w:rsidR="00070C43">
        <w:rPr>
          <w:lang w:val="fr-FR"/>
        </w:rPr>
        <w:t>,</w:t>
      </w:r>
      <w:r w:rsidR="003B0F33" w:rsidRPr="00AC0DAF">
        <w:rPr>
          <w:lang w:val="fr-FR"/>
        </w:rPr>
        <w:t xml:space="preserve"> </w:t>
      </w:r>
      <w:r w:rsidRPr="00AC0DAF">
        <w:rPr>
          <w:i/>
          <w:lang w:val="fr-FR"/>
        </w:rPr>
        <w:t>İl</w:t>
      </w:r>
      <w:bookmarkStart w:id="6" w:name="File66"/>
      <w:r w:rsidRPr="00AC0DAF">
        <w:rPr>
          <w:i/>
          <w:lang w:val="fr-FR"/>
        </w:rPr>
        <w:t>han</w:t>
      </w:r>
      <w:bookmarkEnd w:id="6"/>
      <w:r w:rsidRPr="00AC0DAF">
        <w:rPr>
          <w:i/>
          <w:lang w:val="fr-FR"/>
        </w:rPr>
        <w:t xml:space="preserve"> c. Turquie</w:t>
      </w:r>
      <w:r w:rsidRPr="00AC0DAF">
        <w:rPr>
          <w:lang w:val="fr-FR"/>
        </w:rPr>
        <w:t xml:space="preserve"> [GC], n</w:t>
      </w:r>
      <w:r w:rsidRPr="00AC0DAF">
        <w:rPr>
          <w:vertAlign w:val="superscript"/>
          <w:lang w:val="fr-FR"/>
        </w:rPr>
        <w:t>o</w:t>
      </w:r>
      <w:r w:rsidRPr="00AC0DAF">
        <w:rPr>
          <w:lang w:val="fr-FR"/>
        </w:rPr>
        <w:t xml:space="preserve"> 22277/93, § 84, CEDH 2000</w:t>
      </w:r>
      <w:r w:rsidRPr="00AC0DAF">
        <w:rPr>
          <w:lang w:val="fr-FR"/>
        </w:rPr>
        <w:noBreakHyphen/>
        <w:t>VII</w:t>
      </w:r>
      <w:r w:rsidR="00070C43">
        <w:rPr>
          <w:lang w:val="fr-FR"/>
        </w:rPr>
        <w:t>,</w:t>
      </w:r>
      <w:r w:rsidRPr="00AC0DAF">
        <w:rPr>
          <w:lang w:val="fr-FR"/>
        </w:rPr>
        <w:t xml:space="preserve"> </w:t>
      </w:r>
      <w:r w:rsidR="006A0E0D" w:rsidRPr="004A51F8">
        <w:rPr>
          <w:i/>
          <w:lang w:val="fr-FR"/>
        </w:rPr>
        <w:t>Bat</w:t>
      </w:r>
      <w:r w:rsidR="006A0E0D">
        <w:rPr>
          <w:rFonts w:cstheme="minorHAnsi"/>
          <w:i/>
          <w:lang w:val="fr-FR"/>
        </w:rPr>
        <w:t>ı</w:t>
      </w:r>
      <w:r w:rsidRPr="00AC0DAF">
        <w:rPr>
          <w:i/>
          <w:lang w:val="fr-FR"/>
        </w:rPr>
        <w:t xml:space="preserve"> et autres c. Turquie</w:t>
      </w:r>
      <w:r w:rsidRPr="00AC0DAF">
        <w:rPr>
          <w:lang w:val="fr-FR"/>
        </w:rPr>
        <w:t xml:space="preserve">, </w:t>
      </w:r>
      <w:r w:rsidRPr="00AC0DAF">
        <w:rPr>
          <w:noProof/>
          <w:lang w:val="fr-FR"/>
        </w:rPr>
        <w:t>n</w:t>
      </w:r>
      <w:r w:rsidRPr="00AC0DAF">
        <w:rPr>
          <w:noProof/>
          <w:vertAlign w:val="superscript"/>
          <w:lang w:val="fr-FR"/>
        </w:rPr>
        <w:t>os</w:t>
      </w:r>
      <w:r w:rsidRPr="00AC0DAF">
        <w:rPr>
          <w:noProof/>
          <w:lang w:val="fr-FR"/>
        </w:rPr>
        <w:t xml:space="preserve"> 33097/96 et 57834/00</w:t>
      </w:r>
      <w:r w:rsidRPr="00AC0DAF">
        <w:rPr>
          <w:lang w:val="fr-FR"/>
        </w:rPr>
        <w:t>, §§ 118-119, CEDH 2004-IV</w:t>
      </w:r>
      <w:r w:rsidR="00070C43">
        <w:rPr>
          <w:lang w:val="fr-FR"/>
        </w:rPr>
        <w:t>,</w:t>
      </w:r>
      <w:r w:rsidRPr="00AC0DAF">
        <w:rPr>
          <w:lang w:val="fr-FR"/>
        </w:rPr>
        <w:t xml:space="preserve"> </w:t>
      </w:r>
      <w:r w:rsidRPr="00AC0DAF">
        <w:rPr>
          <w:i/>
          <w:lang w:val="fr-FR"/>
        </w:rPr>
        <w:t>Gäfgen</w:t>
      </w:r>
      <w:r w:rsidRPr="00AC0DAF">
        <w:rPr>
          <w:lang w:val="fr-FR"/>
        </w:rPr>
        <w:t>, précité, § 88</w:t>
      </w:r>
      <w:r w:rsidR="00070C43">
        <w:rPr>
          <w:lang w:val="fr-FR"/>
        </w:rPr>
        <w:t>,</w:t>
      </w:r>
      <w:r w:rsidR="00E27178" w:rsidRPr="00AC0DAF">
        <w:rPr>
          <w:lang w:val="fr-FR"/>
        </w:rPr>
        <w:t xml:space="preserve"> </w:t>
      </w:r>
      <w:r w:rsidR="000A322F" w:rsidRPr="00AC0DAF">
        <w:rPr>
          <w:i/>
          <w:lang w:val="fr-FR"/>
        </w:rPr>
        <w:t>El-Masri</w:t>
      </w:r>
      <w:r w:rsidR="00D94513" w:rsidRPr="00AC0DAF">
        <w:rPr>
          <w:lang w:val="fr-FR"/>
        </w:rPr>
        <w:t>, précité, § 196</w:t>
      </w:r>
      <w:r w:rsidR="00070C43">
        <w:rPr>
          <w:snapToGrid w:val="0"/>
          <w:lang w:val="fr-FR"/>
        </w:rPr>
        <w:t>,</w:t>
      </w:r>
      <w:r w:rsidR="000A322F" w:rsidRPr="00AC0DAF">
        <w:rPr>
          <w:snapToGrid w:val="0"/>
          <w:lang w:val="fr-FR"/>
        </w:rPr>
        <w:t xml:space="preserve"> </w:t>
      </w:r>
      <w:r w:rsidR="00D94513" w:rsidRPr="00AC0DAF">
        <w:rPr>
          <w:i/>
          <w:snapToGrid w:val="0"/>
          <w:lang w:val="fr-FR"/>
        </w:rPr>
        <w:t>Alberti</w:t>
      </w:r>
      <w:r w:rsidR="00D94513" w:rsidRPr="00AC0DAF">
        <w:rPr>
          <w:snapToGrid w:val="0"/>
          <w:lang w:val="fr-FR"/>
        </w:rPr>
        <w:t>, précité, § 40</w:t>
      </w:r>
      <w:r w:rsidR="00070C43">
        <w:rPr>
          <w:snapToGrid w:val="0"/>
          <w:lang w:val="fr-FR"/>
        </w:rPr>
        <w:t>, et</w:t>
      </w:r>
      <w:r w:rsidR="00D94513" w:rsidRPr="00AC0DAF">
        <w:rPr>
          <w:i/>
          <w:snapToGrid w:val="0"/>
          <w:lang w:val="fr-FR"/>
        </w:rPr>
        <w:t xml:space="preserve"> </w:t>
      </w:r>
      <w:r w:rsidR="00D94513" w:rsidRPr="00AC0DAF">
        <w:rPr>
          <w:i/>
          <w:lang w:val="fr-FR"/>
        </w:rPr>
        <w:t>Saba</w:t>
      </w:r>
      <w:r w:rsidR="00D94513" w:rsidRPr="00AC0DAF">
        <w:rPr>
          <w:lang w:val="fr-FR"/>
        </w:rPr>
        <w:t>, précité, §§ 71-72</w:t>
      </w:r>
      <w:r w:rsidR="00D94513">
        <w:rPr>
          <w:lang w:val="fr-FR"/>
        </w:rPr>
        <w:t>)</w:t>
      </w:r>
      <w:r>
        <w:rPr>
          <w:snapToGrid w:val="0"/>
          <w:szCs w:val="24"/>
          <w:lang w:val="pt-BR"/>
        </w:rPr>
        <w:t xml:space="preserve">, </w:t>
      </w:r>
      <w:r w:rsidR="001A6957">
        <w:rPr>
          <w:snapToGrid w:val="0"/>
          <w:szCs w:val="24"/>
          <w:lang w:val="pt-BR"/>
        </w:rPr>
        <w:t>la Cour estime qu</w:t>
      </w:r>
      <w:r w:rsidR="00603708">
        <w:rPr>
          <w:snapToGrid w:val="0"/>
          <w:szCs w:val="24"/>
          <w:lang w:val="pt-BR"/>
        </w:rPr>
        <w:t>’</w:t>
      </w:r>
      <w:r w:rsidR="00E27178">
        <w:rPr>
          <w:snapToGrid w:val="0"/>
          <w:szCs w:val="24"/>
          <w:lang w:val="pt-BR"/>
        </w:rPr>
        <w:t>on ne saurait s</w:t>
      </w:r>
      <w:r w:rsidR="00A0724C">
        <w:rPr>
          <w:snapToGrid w:val="0"/>
          <w:szCs w:val="24"/>
          <w:lang w:val="pt-BR"/>
        </w:rPr>
        <w:t>é</w:t>
      </w:r>
      <w:r w:rsidR="00E27178">
        <w:rPr>
          <w:snapToGrid w:val="0"/>
          <w:szCs w:val="24"/>
          <w:lang w:val="pt-BR"/>
        </w:rPr>
        <w:t xml:space="preserve">rieusement douter que </w:t>
      </w:r>
      <w:r w:rsidRPr="004A51F8">
        <w:rPr>
          <w:lang w:val="fr-FR"/>
        </w:rPr>
        <w:t xml:space="preserve">les mauvais traitements </w:t>
      </w:r>
      <w:r w:rsidR="004E31EC">
        <w:rPr>
          <w:lang w:val="fr-FR"/>
        </w:rPr>
        <w:t xml:space="preserve">en cause </w:t>
      </w:r>
      <w:r w:rsidRPr="004A51F8">
        <w:rPr>
          <w:lang w:val="fr-FR"/>
        </w:rPr>
        <w:t>tombe</w:t>
      </w:r>
      <w:r w:rsidR="000A322F">
        <w:rPr>
          <w:lang w:val="fr-FR"/>
        </w:rPr>
        <w:t>nt</w:t>
      </w:r>
      <w:r w:rsidRPr="004A51F8">
        <w:rPr>
          <w:lang w:val="fr-FR"/>
        </w:rPr>
        <w:t xml:space="preserve"> sous </w:t>
      </w:r>
      <w:r w:rsidR="001A6957">
        <w:rPr>
          <w:lang w:val="fr-FR"/>
        </w:rPr>
        <w:t>l</w:t>
      </w:r>
      <w:r w:rsidR="00603708">
        <w:rPr>
          <w:lang w:val="fr-FR"/>
        </w:rPr>
        <w:t>’</w:t>
      </w:r>
      <w:r w:rsidR="001A6957">
        <w:rPr>
          <w:lang w:val="fr-FR"/>
        </w:rPr>
        <w:t>empire</w:t>
      </w:r>
      <w:r w:rsidRPr="004A51F8">
        <w:rPr>
          <w:lang w:val="fr-FR"/>
        </w:rPr>
        <w:t xml:space="preserve"> de l</w:t>
      </w:r>
      <w:r w:rsidR="00603708">
        <w:rPr>
          <w:lang w:val="fr-FR"/>
        </w:rPr>
        <w:t>’</w:t>
      </w:r>
      <w:r w:rsidRPr="004A51F8">
        <w:rPr>
          <w:lang w:val="fr-FR"/>
        </w:rPr>
        <w:t>article 3 de la Convention.</w:t>
      </w:r>
      <w:r w:rsidR="00D94513">
        <w:rPr>
          <w:lang w:val="fr-FR"/>
        </w:rPr>
        <w:t xml:space="preserve"> Le Gouvernement,</w:t>
      </w:r>
      <w:r w:rsidR="005805F3">
        <w:rPr>
          <w:lang w:val="fr-FR"/>
        </w:rPr>
        <w:t xml:space="preserve"> du reste, ne le conteste pas. </w:t>
      </w:r>
      <w:r w:rsidRPr="004A51F8">
        <w:rPr>
          <w:lang w:val="fr-FR"/>
        </w:rPr>
        <w:t>Reste à savoir s</w:t>
      </w:r>
      <w:r w:rsidR="00603708">
        <w:rPr>
          <w:lang w:val="fr-FR"/>
        </w:rPr>
        <w:t>’</w:t>
      </w:r>
      <w:r w:rsidRPr="004A51F8">
        <w:rPr>
          <w:lang w:val="fr-FR"/>
        </w:rPr>
        <w:t>ils doivent être qualifiés de torture, comme le prétend le requérant.</w:t>
      </w:r>
      <w:bookmarkStart w:id="7" w:name="_Toc343160087"/>
    </w:p>
    <w:p w:rsidR="0032468C" w:rsidRDefault="00747C68" w:rsidP="000B5793">
      <w:pPr>
        <w:pStyle w:val="ECHRHeading6"/>
        <w:rPr>
          <w:rFonts w:eastAsia="Times New Roman"/>
          <w:lang w:val="fr-FR"/>
        </w:rPr>
      </w:pPr>
      <w:r w:rsidRPr="00747C68">
        <w:rPr>
          <w:rFonts w:eastAsia="Times New Roman"/>
          <w:lang w:val="fr-FR"/>
        </w:rPr>
        <w:t>α)</w:t>
      </w:r>
      <w:r>
        <w:rPr>
          <w:rFonts w:eastAsia="Times New Roman"/>
          <w:lang w:val="fr-FR"/>
        </w:rPr>
        <w:t> </w:t>
      </w:r>
      <w:r w:rsidR="00EA4568">
        <w:rPr>
          <w:rFonts w:eastAsia="Times New Roman"/>
          <w:lang w:val="fr-FR"/>
        </w:rPr>
        <w:t> </w:t>
      </w:r>
      <w:r>
        <w:rPr>
          <w:rFonts w:eastAsia="Times New Roman"/>
          <w:lang w:val="fr-FR"/>
        </w:rPr>
        <w:t>Aperçu de la jurisprudence en matière de « torture »</w:t>
      </w:r>
      <w:bookmarkEnd w:id="7"/>
    </w:p>
    <w:p w:rsidR="0032468C" w:rsidRDefault="005C337F">
      <w:pPr>
        <w:pStyle w:val="ECHRPara"/>
        <w:tabs>
          <w:tab w:val="num" w:pos="780"/>
        </w:tabs>
        <w:ind w:firstLine="360"/>
        <w:rPr>
          <w:lang w:val="fr-FR"/>
        </w:rPr>
      </w:pPr>
      <w:r w:rsidRPr="00431312">
        <w:rPr>
          <w:lang w:val="fr-FR"/>
        </w:rPr>
        <w:fldChar w:fldCharType="begin"/>
      </w:r>
      <w:r w:rsidRPr="00A0724C">
        <w:rPr>
          <w:lang w:val="fr-FR"/>
        </w:rPr>
        <w:instrText xml:space="preserve"> SEQ level0 \*arabic </w:instrText>
      </w:r>
      <w:r w:rsidRPr="00431312">
        <w:rPr>
          <w:lang w:val="fr-FR"/>
        </w:rPr>
        <w:fldChar w:fldCharType="separate"/>
      </w:r>
      <w:r w:rsidR="00B378F9">
        <w:rPr>
          <w:noProof/>
          <w:lang w:val="fr-FR"/>
        </w:rPr>
        <w:t>171</w:t>
      </w:r>
      <w:r w:rsidRPr="00431312">
        <w:rPr>
          <w:lang w:val="fr-FR"/>
        </w:rPr>
        <w:fldChar w:fldCharType="end"/>
      </w:r>
      <w:r w:rsidRPr="00A0724C">
        <w:rPr>
          <w:lang w:val="fr-FR"/>
        </w:rPr>
        <w:t>.  </w:t>
      </w:r>
      <w:r w:rsidR="002508AF" w:rsidRPr="00A0724C">
        <w:rPr>
          <w:lang w:val="fr-FR"/>
        </w:rPr>
        <w:t xml:space="preserve">En principe, pour déterminer si une forme </w:t>
      </w:r>
      <w:r w:rsidR="00070C43" w:rsidRPr="00A0724C">
        <w:rPr>
          <w:lang w:val="fr-FR"/>
        </w:rPr>
        <w:t xml:space="preserve">donnée </w:t>
      </w:r>
      <w:r w:rsidR="002508AF" w:rsidRPr="00A0724C">
        <w:rPr>
          <w:lang w:val="fr-FR"/>
        </w:rPr>
        <w:t>de mauvais</w:t>
      </w:r>
      <w:r w:rsidR="002508AF" w:rsidRPr="004A51F8">
        <w:rPr>
          <w:lang w:val="fr-FR"/>
        </w:rPr>
        <w:t xml:space="preserve"> traitement doit être qualifiée de torture, </w:t>
      </w:r>
      <w:r w:rsidR="00070C43">
        <w:rPr>
          <w:lang w:val="fr-FR"/>
        </w:rPr>
        <w:t>la Cour doit</w:t>
      </w:r>
      <w:r w:rsidR="002508AF" w:rsidRPr="004A51F8">
        <w:rPr>
          <w:lang w:val="fr-FR"/>
        </w:rPr>
        <w:t xml:space="preserve"> avoir égard à la distinction</w:t>
      </w:r>
      <w:r w:rsidR="00070C43">
        <w:rPr>
          <w:lang w:val="fr-FR"/>
        </w:rPr>
        <w:t xml:space="preserve"> que l</w:t>
      </w:r>
      <w:r w:rsidR="00603708">
        <w:rPr>
          <w:lang w:val="fr-FR"/>
        </w:rPr>
        <w:t>’</w:t>
      </w:r>
      <w:r w:rsidR="00070C43">
        <w:rPr>
          <w:lang w:val="fr-FR"/>
        </w:rPr>
        <w:t xml:space="preserve">article 3 opère </w:t>
      </w:r>
      <w:r w:rsidR="002508AF" w:rsidRPr="004A51F8">
        <w:rPr>
          <w:lang w:val="fr-FR"/>
        </w:rPr>
        <w:t>entre cette notion et celle de traitement</w:t>
      </w:r>
      <w:r w:rsidR="00070C43">
        <w:rPr>
          <w:lang w:val="fr-FR"/>
        </w:rPr>
        <w:t>s</w:t>
      </w:r>
      <w:r w:rsidR="002508AF" w:rsidRPr="004A51F8">
        <w:rPr>
          <w:lang w:val="fr-FR"/>
        </w:rPr>
        <w:t xml:space="preserve"> inhumain</w:t>
      </w:r>
      <w:r w:rsidR="00070C43">
        <w:rPr>
          <w:lang w:val="fr-FR"/>
        </w:rPr>
        <w:t>s</w:t>
      </w:r>
      <w:r w:rsidR="002508AF" w:rsidRPr="004A51F8">
        <w:rPr>
          <w:lang w:val="fr-FR"/>
        </w:rPr>
        <w:t xml:space="preserve"> ou</w:t>
      </w:r>
      <w:r w:rsidR="005C17F6">
        <w:rPr>
          <w:lang w:val="fr-FR"/>
        </w:rPr>
        <w:t xml:space="preserve"> dégradant</w:t>
      </w:r>
      <w:r w:rsidR="00070C43">
        <w:rPr>
          <w:lang w:val="fr-FR"/>
        </w:rPr>
        <w:t>s</w:t>
      </w:r>
      <w:r w:rsidR="005C17F6">
        <w:rPr>
          <w:lang w:val="fr-FR"/>
        </w:rPr>
        <w:t>. Ainsi que la Cour l</w:t>
      </w:r>
      <w:r w:rsidR="00603708">
        <w:rPr>
          <w:lang w:val="fr-FR"/>
        </w:rPr>
        <w:t>’</w:t>
      </w:r>
      <w:r w:rsidR="002508AF" w:rsidRPr="004A51F8">
        <w:rPr>
          <w:lang w:val="fr-FR"/>
        </w:rPr>
        <w:t xml:space="preserve">a </w:t>
      </w:r>
      <w:r w:rsidR="001A6957">
        <w:rPr>
          <w:lang w:val="fr-FR"/>
        </w:rPr>
        <w:t xml:space="preserve">déjà </w:t>
      </w:r>
      <w:r w:rsidR="002508AF" w:rsidRPr="004A51F8">
        <w:rPr>
          <w:lang w:val="fr-FR"/>
        </w:rPr>
        <w:t>relevé, cette distinction paraît avoir été consacrée par la Convention pour marquer d</w:t>
      </w:r>
      <w:r w:rsidR="00603708">
        <w:rPr>
          <w:lang w:val="fr-FR"/>
        </w:rPr>
        <w:t>’</w:t>
      </w:r>
      <w:r w:rsidR="002508AF" w:rsidRPr="004A51F8">
        <w:rPr>
          <w:lang w:val="fr-FR"/>
        </w:rPr>
        <w:t>une spéciale infamie des traitements inhumains délibérés provoquant de fort graves et cruelles souffrances</w:t>
      </w:r>
      <w:r w:rsidR="00070C43">
        <w:rPr>
          <w:lang w:val="fr-FR"/>
        </w:rPr>
        <w:t xml:space="preserve"> </w:t>
      </w:r>
      <w:r w:rsidR="002508AF" w:rsidRPr="004A51F8">
        <w:rPr>
          <w:lang w:val="fr-FR"/>
        </w:rPr>
        <w:t>(</w:t>
      </w:r>
      <w:r w:rsidR="006A0E0D" w:rsidRPr="004A51F8">
        <w:rPr>
          <w:i/>
          <w:lang w:val="fr-FR"/>
        </w:rPr>
        <w:t>Bat</w:t>
      </w:r>
      <w:r w:rsidR="006A0E0D">
        <w:rPr>
          <w:rFonts w:cstheme="minorHAnsi"/>
          <w:i/>
          <w:lang w:val="fr-FR"/>
        </w:rPr>
        <w:t>ı</w:t>
      </w:r>
      <w:r w:rsidR="002508AF" w:rsidRPr="00AC0DAF">
        <w:rPr>
          <w:i/>
          <w:lang w:val="fr-FR"/>
        </w:rPr>
        <w:t xml:space="preserve"> et autres</w:t>
      </w:r>
      <w:r w:rsidR="002508AF" w:rsidRPr="00AC0DAF">
        <w:rPr>
          <w:lang w:val="fr-FR"/>
        </w:rPr>
        <w:t>, précité, § 116</w:t>
      </w:r>
      <w:r w:rsidR="00070C43">
        <w:rPr>
          <w:lang w:val="fr-FR"/>
        </w:rPr>
        <w:t>,</w:t>
      </w:r>
      <w:r w:rsidR="002508AF" w:rsidRPr="00AC0DAF">
        <w:rPr>
          <w:lang w:val="fr-FR"/>
        </w:rPr>
        <w:t xml:space="preserve"> </w:t>
      </w:r>
      <w:r w:rsidR="002508AF" w:rsidRPr="00AC0DAF">
        <w:rPr>
          <w:i/>
          <w:lang w:val="fr-FR"/>
        </w:rPr>
        <w:t>Gäfgen</w:t>
      </w:r>
      <w:r w:rsidR="002508AF" w:rsidRPr="00AC0DAF">
        <w:rPr>
          <w:lang w:val="fr-FR"/>
        </w:rPr>
        <w:t xml:space="preserve">, précité, § 90, </w:t>
      </w:r>
      <w:r w:rsidR="00070C43">
        <w:rPr>
          <w:lang w:val="fr-FR"/>
        </w:rPr>
        <w:t>avec les</w:t>
      </w:r>
      <w:r w:rsidR="00070C43" w:rsidRPr="00AC0DAF">
        <w:rPr>
          <w:lang w:val="fr-FR"/>
        </w:rPr>
        <w:t xml:space="preserve"> </w:t>
      </w:r>
      <w:r w:rsidR="002508AF" w:rsidRPr="00AC0DAF">
        <w:rPr>
          <w:lang w:val="fr-FR"/>
        </w:rPr>
        <w:t xml:space="preserve">arrêts </w:t>
      </w:r>
      <w:r w:rsidR="00070C43">
        <w:rPr>
          <w:lang w:val="fr-FR"/>
        </w:rPr>
        <w:t xml:space="preserve">qui </w:t>
      </w:r>
      <w:r w:rsidR="002508AF" w:rsidRPr="00AC0DAF">
        <w:rPr>
          <w:lang w:val="fr-FR"/>
        </w:rPr>
        <w:t xml:space="preserve">y </w:t>
      </w:r>
      <w:r w:rsidR="00070C43">
        <w:rPr>
          <w:lang w:val="fr-FR"/>
        </w:rPr>
        <w:t xml:space="preserve">sont </w:t>
      </w:r>
      <w:r w:rsidR="002508AF" w:rsidRPr="00AC0DAF">
        <w:rPr>
          <w:lang w:val="fr-FR"/>
        </w:rPr>
        <w:t>cités</w:t>
      </w:r>
      <w:r w:rsidR="00070C43">
        <w:rPr>
          <w:lang w:val="fr-FR"/>
        </w:rPr>
        <w:t>, et</w:t>
      </w:r>
      <w:r w:rsidR="00D94513" w:rsidRPr="00AC0DAF">
        <w:rPr>
          <w:lang w:val="fr-FR"/>
        </w:rPr>
        <w:t xml:space="preserve"> </w:t>
      </w:r>
      <w:r w:rsidR="00D94513" w:rsidRPr="00AC0DAF">
        <w:rPr>
          <w:i/>
          <w:lang w:val="fr-FR"/>
        </w:rPr>
        <w:t>El-Masri</w:t>
      </w:r>
      <w:r w:rsidR="00D94513" w:rsidRPr="00AC0DAF">
        <w:rPr>
          <w:lang w:val="fr-FR"/>
        </w:rPr>
        <w:t xml:space="preserve">, </w:t>
      </w:r>
      <w:r w:rsidR="00EC00B2" w:rsidRPr="00AC0DAF">
        <w:rPr>
          <w:lang w:val="fr-FR"/>
        </w:rPr>
        <w:t xml:space="preserve">précité, </w:t>
      </w:r>
      <w:r w:rsidR="00D94513" w:rsidRPr="00AC0DAF">
        <w:rPr>
          <w:lang w:val="fr-FR"/>
        </w:rPr>
        <w:t>§ 197</w:t>
      </w:r>
      <w:r w:rsidR="002508AF" w:rsidRPr="004A51F8">
        <w:rPr>
          <w:lang w:val="fr-FR"/>
        </w:rPr>
        <w:t xml:space="preserve">). </w:t>
      </w:r>
      <w:r w:rsidR="00951EBA">
        <w:rPr>
          <w:lang w:val="fr-FR"/>
        </w:rPr>
        <w:t>Le</w:t>
      </w:r>
      <w:r w:rsidR="00B51AF8">
        <w:rPr>
          <w:lang w:val="fr-FR"/>
        </w:rPr>
        <w:t xml:space="preserve"> caractère aigu des souffrances</w:t>
      </w:r>
      <w:r w:rsidR="00B51AF8" w:rsidRPr="00B51AF8">
        <w:rPr>
          <w:lang w:val="fr-FR"/>
        </w:rPr>
        <w:t xml:space="preserve"> </w:t>
      </w:r>
      <w:r w:rsidR="002508AF" w:rsidRPr="00B51AF8">
        <w:rPr>
          <w:lang w:val="fr-FR"/>
        </w:rPr>
        <w:t xml:space="preserve">est « relatif par essence ; </w:t>
      </w:r>
      <w:r w:rsidR="00951EBA">
        <w:rPr>
          <w:lang w:val="fr-FR"/>
        </w:rPr>
        <w:t xml:space="preserve">il </w:t>
      </w:r>
      <w:r w:rsidR="002508AF" w:rsidRPr="00B51AF8">
        <w:rPr>
          <w:lang w:val="fr-FR"/>
        </w:rPr>
        <w:t>dépend de l</w:t>
      </w:r>
      <w:r w:rsidR="00603708">
        <w:rPr>
          <w:lang w:val="fr-FR"/>
        </w:rPr>
        <w:t>’</w:t>
      </w:r>
      <w:r w:rsidR="002508AF" w:rsidRPr="00B51AF8">
        <w:rPr>
          <w:lang w:val="fr-FR"/>
        </w:rPr>
        <w:t>ensemble des données de la cause, notamment de la durée du traitement et de ses effets physiques ou mentaux ainsi que, parfois, du sexe, de l</w:t>
      </w:r>
      <w:r w:rsidR="00603708">
        <w:rPr>
          <w:lang w:val="fr-FR"/>
        </w:rPr>
        <w:t>’</w:t>
      </w:r>
      <w:r w:rsidR="002508AF" w:rsidRPr="00B51AF8">
        <w:rPr>
          <w:lang w:val="fr-FR"/>
        </w:rPr>
        <w:t>âge, de l</w:t>
      </w:r>
      <w:r w:rsidR="00603708">
        <w:rPr>
          <w:lang w:val="fr-FR"/>
        </w:rPr>
        <w:t>’</w:t>
      </w:r>
      <w:r w:rsidR="002508AF" w:rsidRPr="00B51AF8">
        <w:rPr>
          <w:lang w:val="fr-FR"/>
        </w:rPr>
        <w:t xml:space="preserve">état de santé de la victime, etc. » </w:t>
      </w:r>
      <w:r w:rsidR="002508AF" w:rsidRPr="00AC0DAF">
        <w:rPr>
          <w:lang w:val="fr-FR"/>
        </w:rPr>
        <w:t>(</w:t>
      </w:r>
      <w:r w:rsidR="002508AF" w:rsidRPr="00AC0DAF">
        <w:rPr>
          <w:i/>
          <w:lang w:val="fr-FR"/>
        </w:rPr>
        <w:t>Selmouni</w:t>
      </w:r>
      <w:r w:rsidR="002508AF" w:rsidRPr="00AC0DAF">
        <w:rPr>
          <w:lang w:val="fr-FR"/>
        </w:rPr>
        <w:t>, précité, § 100</w:t>
      </w:r>
      <w:r w:rsidR="00070C43">
        <w:rPr>
          <w:lang w:val="fr-FR"/>
        </w:rPr>
        <w:t>, et</w:t>
      </w:r>
      <w:r w:rsidR="002508AF" w:rsidRPr="00AC0DAF">
        <w:rPr>
          <w:lang w:val="fr-FR"/>
        </w:rPr>
        <w:t xml:space="preserve"> </w:t>
      </w:r>
      <w:r w:rsidR="006A0E0D" w:rsidRPr="004A51F8">
        <w:rPr>
          <w:i/>
          <w:lang w:val="fr-FR"/>
        </w:rPr>
        <w:t>Bat</w:t>
      </w:r>
      <w:r w:rsidR="006A0E0D">
        <w:rPr>
          <w:rFonts w:cstheme="minorHAnsi"/>
          <w:i/>
          <w:lang w:val="fr-FR"/>
        </w:rPr>
        <w:t>ı</w:t>
      </w:r>
      <w:r w:rsidR="002508AF" w:rsidRPr="00AC0DAF">
        <w:rPr>
          <w:i/>
          <w:lang w:val="fr-FR"/>
        </w:rPr>
        <w:t xml:space="preserve"> et autres</w:t>
      </w:r>
      <w:r w:rsidR="002508AF" w:rsidRPr="00AC0DAF">
        <w:rPr>
          <w:lang w:val="fr-FR"/>
        </w:rPr>
        <w:t xml:space="preserve">, précité, </w:t>
      </w:r>
      <w:r w:rsidR="00070C43" w:rsidRPr="00AC0DAF">
        <w:rPr>
          <w:lang w:val="fr-FR"/>
        </w:rPr>
        <w:t>§</w:t>
      </w:r>
      <w:r w:rsidR="00070C43">
        <w:rPr>
          <w:lang w:val="fr-FR"/>
        </w:rPr>
        <w:t> </w:t>
      </w:r>
      <w:r w:rsidR="002508AF" w:rsidRPr="00AC0DAF">
        <w:rPr>
          <w:lang w:val="fr-FR"/>
        </w:rPr>
        <w:t>120).</w:t>
      </w:r>
    </w:p>
    <w:p w:rsidR="0032468C" w:rsidRDefault="00B51AF8" w:rsidP="002508AF">
      <w:pPr>
        <w:pStyle w:val="ECHRPara"/>
        <w:tabs>
          <w:tab w:val="num" w:pos="780"/>
        </w:tabs>
        <w:ind w:firstLine="360"/>
        <w:rPr>
          <w:lang w:val="fr-FR"/>
        </w:rPr>
      </w:pPr>
      <w:r w:rsidRPr="008F7BFA">
        <w:rPr>
          <w:lang w:val="fr-FR"/>
        </w:rPr>
        <w:t xml:space="preserve">Outre la gravité des traitements, la </w:t>
      </w:r>
      <w:r>
        <w:rPr>
          <w:lang w:val="fr-FR"/>
        </w:rPr>
        <w:t>« </w:t>
      </w:r>
      <w:r w:rsidRPr="008F7BFA">
        <w:rPr>
          <w:lang w:val="fr-FR"/>
        </w:rPr>
        <w:t>torture</w:t>
      </w:r>
      <w:r>
        <w:rPr>
          <w:lang w:val="fr-FR"/>
        </w:rPr>
        <w:t> »</w:t>
      </w:r>
      <w:r w:rsidRPr="008F7BFA">
        <w:rPr>
          <w:lang w:val="fr-FR"/>
        </w:rPr>
        <w:t xml:space="preserve"> </w:t>
      </w:r>
      <w:r w:rsidR="00837E1C">
        <w:rPr>
          <w:lang w:val="fr-FR"/>
        </w:rPr>
        <w:t>implique une volonté délibérée</w:t>
      </w:r>
      <w:r w:rsidRPr="008F7BFA">
        <w:rPr>
          <w:rStyle w:val="sb8d990e2"/>
          <w:lang w:val="fr-FR"/>
        </w:rPr>
        <w:t xml:space="preserve">, </w:t>
      </w:r>
      <w:r w:rsidR="00837E1C">
        <w:rPr>
          <w:rStyle w:val="sb8d990e2"/>
          <w:lang w:val="fr-FR"/>
        </w:rPr>
        <w:t xml:space="preserve">ainsi que le </w:t>
      </w:r>
      <w:r w:rsidRPr="008F7BFA">
        <w:rPr>
          <w:rStyle w:val="sb8d990e2"/>
          <w:lang w:val="fr-FR"/>
        </w:rPr>
        <w:t>reconn</w:t>
      </w:r>
      <w:r w:rsidR="00837E1C">
        <w:rPr>
          <w:rStyle w:val="sb8d990e2"/>
          <w:lang w:val="fr-FR"/>
        </w:rPr>
        <w:t>aît</w:t>
      </w:r>
      <w:r w:rsidRPr="008F7BFA">
        <w:rPr>
          <w:rStyle w:val="sb8d990e2"/>
          <w:lang w:val="fr-FR"/>
        </w:rPr>
        <w:t xml:space="preserve"> la Convention des Nations unies contre la torture et autres peines ou traitements cruels, inhumains ou dégradants, entrée en vigueur le 26 juin 1987</w:t>
      </w:r>
      <w:r>
        <w:rPr>
          <w:rStyle w:val="sb8d990e2"/>
          <w:lang w:val="fr-FR"/>
        </w:rPr>
        <w:t xml:space="preserve"> </w:t>
      </w:r>
      <w:r w:rsidR="00837E1C">
        <w:rPr>
          <w:rStyle w:val="sb8d990e2"/>
          <w:lang w:val="fr-FR"/>
        </w:rPr>
        <w:t>à l</w:t>
      </w:r>
      <w:r w:rsidR="00603708">
        <w:rPr>
          <w:rStyle w:val="sb8d990e2"/>
          <w:lang w:val="fr-FR"/>
        </w:rPr>
        <w:t>’</w:t>
      </w:r>
      <w:r w:rsidR="00837E1C">
        <w:rPr>
          <w:rStyle w:val="sb8d990e2"/>
          <w:lang w:val="fr-FR"/>
        </w:rPr>
        <w:t>égard de l</w:t>
      </w:r>
      <w:r w:rsidR="00603708">
        <w:rPr>
          <w:rStyle w:val="sb8d990e2"/>
          <w:lang w:val="fr-FR"/>
        </w:rPr>
        <w:t>’</w:t>
      </w:r>
      <w:r w:rsidR="00837E1C">
        <w:rPr>
          <w:rStyle w:val="sb8d990e2"/>
          <w:lang w:val="fr-FR"/>
        </w:rPr>
        <w:t xml:space="preserve">Italie </w:t>
      </w:r>
      <w:r>
        <w:rPr>
          <w:rStyle w:val="sb8d990e2"/>
          <w:lang w:val="fr-FR"/>
        </w:rPr>
        <w:t>(</w:t>
      </w:r>
      <w:r w:rsidR="00FA1ACC" w:rsidRPr="00AC0DAF">
        <w:rPr>
          <w:rStyle w:val="sb8d990e2"/>
          <w:lang w:val="fr-FR"/>
        </w:rPr>
        <w:t xml:space="preserve">paragraphe </w:t>
      </w:r>
      <w:r w:rsidR="007D6676" w:rsidRPr="00AC0DAF">
        <w:rPr>
          <w:rStyle w:val="sb8d990e2"/>
          <w:lang w:val="fr-FR"/>
        </w:rPr>
        <w:t>109</w:t>
      </w:r>
      <w:r w:rsidRPr="00AC0DAF">
        <w:rPr>
          <w:rStyle w:val="sb8d990e2"/>
          <w:lang w:val="fr-FR"/>
        </w:rPr>
        <w:t xml:space="preserve"> ci-dessus</w:t>
      </w:r>
      <w:r>
        <w:rPr>
          <w:rStyle w:val="sb8d990e2"/>
          <w:lang w:val="fr-FR"/>
        </w:rPr>
        <w:t>)</w:t>
      </w:r>
      <w:r w:rsidRPr="008F7BFA">
        <w:rPr>
          <w:rStyle w:val="sb8d990e2"/>
          <w:lang w:val="fr-FR"/>
        </w:rPr>
        <w:t xml:space="preserve">, qui </w:t>
      </w:r>
      <w:r w:rsidR="00837E1C">
        <w:rPr>
          <w:rStyle w:val="sb8d990e2"/>
          <w:lang w:val="fr-FR"/>
        </w:rPr>
        <w:t>définit la</w:t>
      </w:r>
      <w:r w:rsidRPr="008F7BFA">
        <w:rPr>
          <w:rStyle w:val="sb8d990e2"/>
          <w:lang w:val="fr-FR"/>
        </w:rPr>
        <w:t xml:space="preserve"> « torture » </w:t>
      </w:r>
      <w:r w:rsidR="00837E1C">
        <w:rPr>
          <w:rStyle w:val="sb8d990e2"/>
          <w:lang w:val="fr-FR"/>
        </w:rPr>
        <w:t xml:space="preserve">comme tout acte par lequel </w:t>
      </w:r>
      <w:r w:rsidRPr="008F7BFA">
        <w:rPr>
          <w:rStyle w:val="sb8d990e2"/>
          <w:lang w:val="fr-FR"/>
        </w:rPr>
        <w:t>une douleur ou de</w:t>
      </w:r>
      <w:r w:rsidR="00837E1C">
        <w:rPr>
          <w:rStyle w:val="sb8d990e2"/>
          <w:lang w:val="fr-FR"/>
        </w:rPr>
        <w:t>s</w:t>
      </w:r>
      <w:r w:rsidRPr="008F7BFA">
        <w:rPr>
          <w:rStyle w:val="sb8d990e2"/>
          <w:lang w:val="fr-FR"/>
        </w:rPr>
        <w:t xml:space="preserve"> souffrances aiguës </w:t>
      </w:r>
      <w:r w:rsidR="00837E1C">
        <w:rPr>
          <w:rStyle w:val="sb8d990e2"/>
          <w:lang w:val="fr-FR"/>
        </w:rPr>
        <w:t xml:space="preserve">sont intentionnellement infligées à une personne </w:t>
      </w:r>
      <w:r w:rsidRPr="008F7BFA">
        <w:rPr>
          <w:rStyle w:val="sb8d990e2"/>
          <w:lang w:val="fr-FR"/>
        </w:rPr>
        <w:t>aux fins</w:t>
      </w:r>
      <w:r w:rsidR="005C337F">
        <w:rPr>
          <w:rStyle w:val="sb8d990e2"/>
          <w:lang w:val="fr-FR"/>
        </w:rPr>
        <w:t>,</w:t>
      </w:r>
      <w:r w:rsidRPr="008F7BFA">
        <w:rPr>
          <w:rStyle w:val="sb8d990e2"/>
          <w:lang w:val="fr-FR"/>
        </w:rPr>
        <w:t xml:space="preserve"> notamment</w:t>
      </w:r>
      <w:r w:rsidR="005C337F">
        <w:rPr>
          <w:rStyle w:val="sb8d990e2"/>
          <w:lang w:val="fr-FR"/>
        </w:rPr>
        <w:t>,</w:t>
      </w:r>
      <w:r w:rsidRPr="008F7BFA">
        <w:rPr>
          <w:rStyle w:val="sb8d990e2"/>
          <w:lang w:val="fr-FR"/>
        </w:rPr>
        <w:t xml:space="preserve"> d</w:t>
      </w:r>
      <w:r w:rsidR="00603708">
        <w:rPr>
          <w:rStyle w:val="sb8d990e2"/>
          <w:lang w:val="fr-FR"/>
        </w:rPr>
        <w:t>’</w:t>
      </w:r>
      <w:r w:rsidRPr="008F7BFA">
        <w:rPr>
          <w:rStyle w:val="sb8d990e2"/>
          <w:lang w:val="fr-FR"/>
        </w:rPr>
        <w:t xml:space="preserve">obtenir </w:t>
      </w:r>
      <w:r w:rsidR="00837E1C">
        <w:rPr>
          <w:rStyle w:val="sb8d990e2"/>
          <w:lang w:val="fr-FR"/>
        </w:rPr>
        <w:t>d</w:t>
      </w:r>
      <w:r w:rsidR="00603708">
        <w:rPr>
          <w:rStyle w:val="sb8d990e2"/>
          <w:lang w:val="fr-FR"/>
        </w:rPr>
        <w:t>’</w:t>
      </w:r>
      <w:r w:rsidR="00837E1C">
        <w:rPr>
          <w:rStyle w:val="sb8d990e2"/>
          <w:lang w:val="fr-FR"/>
        </w:rPr>
        <w:t xml:space="preserve">elle </w:t>
      </w:r>
      <w:r w:rsidRPr="008F7BFA">
        <w:rPr>
          <w:rStyle w:val="sb8d990e2"/>
          <w:lang w:val="fr-FR"/>
        </w:rPr>
        <w:t xml:space="preserve">des renseignements, de </w:t>
      </w:r>
      <w:r w:rsidR="00837E1C">
        <w:rPr>
          <w:rStyle w:val="sb8d990e2"/>
          <w:lang w:val="fr-FR"/>
        </w:rPr>
        <w:t xml:space="preserve">la </w:t>
      </w:r>
      <w:r w:rsidRPr="008F7BFA">
        <w:rPr>
          <w:rStyle w:val="sb8d990e2"/>
          <w:lang w:val="fr-FR"/>
        </w:rPr>
        <w:t>punir ou d</w:t>
      </w:r>
      <w:r w:rsidR="00837E1C">
        <w:rPr>
          <w:rStyle w:val="sb8d990e2"/>
          <w:lang w:val="fr-FR"/>
        </w:rPr>
        <w:t>e l</w:t>
      </w:r>
      <w:r w:rsidR="00603708">
        <w:rPr>
          <w:rStyle w:val="sb8d990e2"/>
          <w:lang w:val="fr-FR"/>
        </w:rPr>
        <w:t>’</w:t>
      </w:r>
      <w:r w:rsidRPr="008F7BFA">
        <w:rPr>
          <w:rStyle w:val="sb8d990e2"/>
          <w:lang w:val="fr-FR"/>
        </w:rPr>
        <w:t xml:space="preserve">intimider </w:t>
      </w:r>
      <w:r w:rsidR="002508AF" w:rsidRPr="004A51F8">
        <w:rPr>
          <w:lang w:val="fr-FR"/>
        </w:rPr>
        <w:t>(</w:t>
      </w:r>
      <w:r w:rsidR="002508AF" w:rsidRPr="00AC0DAF">
        <w:rPr>
          <w:i/>
          <w:lang w:val="fr-FR"/>
        </w:rPr>
        <w:t>İlhan</w:t>
      </w:r>
      <w:r w:rsidR="002508AF" w:rsidRPr="00AC0DAF">
        <w:rPr>
          <w:lang w:val="fr-FR"/>
        </w:rPr>
        <w:t xml:space="preserve">, précité, </w:t>
      </w:r>
      <w:r w:rsidR="001A6957">
        <w:rPr>
          <w:lang w:val="fr-FR"/>
        </w:rPr>
        <w:t xml:space="preserve">§ </w:t>
      </w:r>
      <w:r w:rsidR="002508AF" w:rsidRPr="00AC0DAF">
        <w:rPr>
          <w:lang w:val="fr-FR"/>
        </w:rPr>
        <w:t>85</w:t>
      </w:r>
      <w:r w:rsidR="006D0A9B">
        <w:rPr>
          <w:lang w:val="fr-FR"/>
        </w:rPr>
        <w:t>,</w:t>
      </w:r>
      <w:r w:rsidR="002508AF" w:rsidRPr="00AC0DAF">
        <w:rPr>
          <w:lang w:val="fr-FR"/>
        </w:rPr>
        <w:t xml:space="preserve"> </w:t>
      </w:r>
      <w:r w:rsidR="002508AF" w:rsidRPr="00AC0DAF">
        <w:rPr>
          <w:i/>
          <w:lang w:val="fr-FR"/>
        </w:rPr>
        <w:t>Gäfgen</w:t>
      </w:r>
      <w:r w:rsidR="002508AF" w:rsidRPr="00AC0DAF">
        <w:rPr>
          <w:lang w:val="fr-FR"/>
        </w:rPr>
        <w:t xml:space="preserve">, </w:t>
      </w:r>
      <w:r w:rsidR="001A6957">
        <w:rPr>
          <w:lang w:val="fr-FR"/>
        </w:rPr>
        <w:t>§ 90</w:t>
      </w:r>
      <w:r w:rsidR="006D0A9B">
        <w:rPr>
          <w:lang w:val="fr-FR"/>
        </w:rPr>
        <w:t>, et</w:t>
      </w:r>
      <w:r w:rsidRPr="00AC0DAF">
        <w:rPr>
          <w:lang w:val="fr-FR"/>
        </w:rPr>
        <w:t xml:space="preserve"> </w:t>
      </w:r>
      <w:r w:rsidRPr="00AC0DAF">
        <w:rPr>
          <w:i/>
          <w:lang w:val="fr-FR"/>
        </w:rPr>
        <w:t>El-Masri</w:t>
      </w:r>
      <w:r w:rsidRPr="00AC0DAF">
        <w:rPr>
          <w:lang w:val="fr-FR"/>
        </w:rPr>
        <w:t xml:space="preserve">, précité, § </w:t>
      </w:r>
      <w:r w:rsidR="001A6957">
        <w:rPr>
          <w:lang w:val="fr-FR"/>
        </w:rPr>
        <w:t>197</w:t>
      </w:r>
      <w:r w:rsidR="002508AF" w:rsidRPr="004A51F8">
        <w:rPr>
          <w:lang w:val="fr-FR"/>
        </w:rPr>
        <w:t>).</w:t>
      </w:r>
    </w:p>
    <w:p w:rsidR="0032468C" w:rsidRDefault="00951EBA" w:rsidP="003832A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172</w:t>
      </w:r>
      <w:r>
        <w:rPr>
          <w:lang w:val="fr-FR"/>
        </w:rPr>
        <w:fldChar w:fldCharType="end"/>
      </w:r>
      <w:r>
        <w:rPr>
          <w:lang w:val="fr-FR"/>
        </w:rPr>
        <w:t>.  </w:t>
      </w:r>
      <w:r w:rsidR="00C65958">
        <w:rPr>
          <w:lang w:val="fr-FR"/>
        </w:rPr>
        <w:t>D</w:t>
      </w:r>
      <w:r w:rsidR="00C65958" w:rsidRPr="004A51F8">
        <w:rPr>
          <w:lang w:val="fr-FR"/>
        </w:rPr>
        <w:t>ans certaines affaires</w:t>
      </w:r>
      <w:r w:rsidR="00C65958">
        <w:rPr>
          <w:lang w:val="fr-FR"/>
        </w:rPr>
        <w:t>,</w:t>
      </w:r>
      <w:r w:rsidR="00C65958" w:rsidRPr="004A51F8">
        <w:rPr>
          <w:lang w:val="fr-FR"/>
        </w:rPr>
        <w:t xml:space="preserve"> </w:t>
      </w:r>
      <w:r w:rsidR="00C65958">
        <w:rPr>
          <w:lang w:val="fr-FR"/>
        </w:rPr>
        <w:t>l</w:t>
      </w:r>
      <w:r w:rsidR="002508AF" w:rsidRPr="004A51F8">
        <w:rPr>
          <w:lang w:val="fr-FR"/>
        </w:rPr>
        <w:t xml:space="preserve">es faits </w:t>
      </w:r>
      <w:r w:rsidR="00AA0A36">
        <w:rPr>
          <w:lang w:val="fr-FR"/>
        </w:rPr>
        <w:t xml:space="preserve">de </w:t>
      </w:r>
      <w:r w:rsidR="00256872">
        <w:rPr>
          <w:lang w:val="fr-FR"/>
        </w:rPr>
        <w:t xml:space="preserve">la </w:t>
      </w:r>
      <w:r w:rsidR="002508AF" w:rsidRPr="004A51F8">
        <w:rPr>
          <w:lang w:val="fr-FR"/>
        </w:rPr>
        <w:t>cause ont amené la Cour à estimer</w:t>
      </w:r>
      <w:r>
        <w:rPr>
          <w:lang w:val="fr-FR"/>
        </w:rPr>
        <w:t xml:space="preserve"> </w:t>
      </w:r>
      <w:r w:rsidR="002508AF" w:rsidRPr="004A51F8">
        <w:rPr>
          <w:lang w:val="fr-FR"/>
        </w:rPr>
        <w:t xml:space="preserve">que les mauvais traitements en question devaient bien être qualifiés de « torture » </w:t>
      </w:r>
      <w:r w:rsidR="00954950">
        <w:rPr>
          <w:lang w:val="fr-FR"/>
        </w:rPr>
        <w:t xml:space="preserve">après avoir </w:t>
      </w:r>
      <w:r w:rsidR="00543EFD">
        <w:rPr>
          <w:lang w:val="fr-FR"/>
        </w:rPr>
        <w:t>appliqu</w:t>
      </w:r>
      <w:r w:rsidR="00954950">
        <w:rPr>
          <w:lang w:val="fr-FR"/>
        </w:rPr>
        <w:t>é</w:t>
      </w:r>
      <w:r w:rsidR="00543EFD">
        <w:rPr>
          <w:lang w:val="fr-FR"/>
        </w:rPr>
        <w:t xml:space="preserve"> conjointement les</w:t>
      </w:r>
      <w:r w:rsidR="002508AF" w:rsidRPr="004A51F8">
        <w:rPr>
          <w:lang w:val="fr-FR"/>
        </w:rPr>
        <w:t xml:space="preserve"> deux critères susmentionnés</w:t>
      </w:r>
      <w:r w:rsidR="00954950">
        <w:rPr>
          <w:lang w:val="fr-FR"/>
        </w:rPr>
        <w:t xml:space="preserve">, à savoir </w:t>
      </w:r>
      <w:r w:rsidR="00543EFD">
        <w:rPr>
          <w:lang w:val="fr-FR"/>
        </w:rPr>
        <w:t xml:space="preserve">la gravité des souffrances et </w:t>
      </w:r>
      <w:r w:rsidR="00954950">
        <w:rPr>
          <w:lang w:val="fr-FR"/>
        </w:rPr>
        <w:t>la volonté délibérée</w:t>
      </w:r>
      <w:r w:rsidR="002508AF" w:rsidRPr="004A51F8">
        <w:rPr>
          <w:lang w:val="fr-FR"/>
        </w:rPr>
        <w:t xml:space="preserve"> </w:t>
      </w:r>
      <w:r w:rsidR="003832A7">
        <w:rPr>
          <w:lang w:val="fr-FR"/>
        </w:rPr>
        <w:t>(</w:t>
      </w:r>
      <w:r w:rsidR="002508AF" w:rsidRPr="00AC0DAF">
        <w:rPr>
          <w:lang w:val="fr-FR"/>
        </w:rPr>
        <w:t xml:space="preserve">voir, par exemple, </w:t>
      </w:r>
      <w:r w:rsidR="002508AF" w:rsidRPr="00AC0DAF">
        <w:rPr>
          <w:i/>
          <w:lang w:val="fr-FR"/>
        </w:rPr>
        <w:t>Aksoy c. Turquie</w:t>
      </w:r>
      <w:r w:rsidR="002508AF" w:rsidRPr="00AC0DAF">
        <w:rPr>
          <w:lang w:val="fr-FR"/>
        </w:rPr>
        <w:t xml:space="preserve">, 18 décembre 1996, §§ </w:t>
      </w:r>
      <w:r w:rsidR="00954950">
        <w:rPr>
          <w:lang w:val="fr-FR"/>
        </w:rPr>
        <w:t>6</w:t>
      </w:r>
      <w:r w:rsidR="00954950" w:rsidRPr="00AC0DAF">
        <w:rPr>
          <w:lang w:val="fr-FR"/>
        </w:rPr>
        <w:t>3</w:t>
      </w:r>
      <w:r w:rsidR="002508AF" w:rsidRPr="00AC0DAF">
        <w:rPr>
          <w:lang w:val="fr-FR"/>
        </w:rPr>
        <w:t>-</w:t>
      </w:r>
      <w:r w:rsidR="00954950">
        <w:rPr>
          <w:lang w:val="fr-FR"/>
        </w:rPr>
        <w:t>6</w:t>
      </w:r>
      <w:r w:rsidR="002508AF" w:rsidRPr="00AC0DAF">
        <w:rPr>
          <w:lang w:val="fr-FR"/>
        </w:rPr>
        <w:t xml:space="preserve">4, </w:t>
      </w:r>
      <w:r w:rsidR="002508AF" w:rsidRPr="00AC0DAF">
        <w:rPr>
          <w:i/>
          <w:lang w:val="fr-FR"/>
        </w:rPr>
        <w:t xml:space="preserve">Recueil </w:t>
      </w:r>
      <w:r w:rsidR="002508AF" w:rsidRPr="00AC0DAF">
        <w:rPr>
          <w:lang w:val="fr-FR"/>
        </w:rPr>
        <w:t>1996</w:t>
      </w:r>
      <w:r w:rsidR="002508AF" w:rsidRPr="00AC0DAF">
        <w:rPr>
          <w:lang w:val="fr-FR"/>
        </w:rPr>
        <w:noBreakHyphen/>
        <w:t>VI</w:t>
      </w:r>
      <w:r w:rsidR="00460244">
        <w:rPr>
          <w:lang w:val="fr-FR"/>
        </w:rPr>
        <w:t> :</w:t>
      </w:r>
      <w:r w:rsidR="002508AF" w:rsidRPr="00EC00B2">
        <w:rPr>
          <w:lang w:val="fr-FR"/>
        </w:rPr>
        <w:t xml:space="preserve"> </w:t>
      </w:r>
      <w:r w:rsidR="00460244">
        <w:rPr>
          <w:lang w:val="fr-FR"/>
        </w:rPr>
        <w:t xml:space="preserve">le </w:t>
      </w:r>
      <w:r w:rsidR="002508AF" w:rsidRPr="00EC00B2">
        <w:rPr>
          <w:lang w:val="fr-FR"/>
        </w:rPr>
        <w:t xml:space="preserve">requérant </w:t>
      </w:r>
      <w:r w:rsidR="00460244">
        <w:rPr>
          <w:lang w:val="fr-FR"/>
        </w:rPr>
        <w:t xml:space="preserve">avait été </w:t>
      </w:r>
      <w:r w:rsidR="002508AF" w:rsidRPr="00EC00B2">
        <w:rPr>
          <w:lang w:val="fr-FR"/>
        </w:rPr>
        <w:t xml:space="preserve">soumis à la « pendaison palestinienne » </w:t>
      </w:r>
      <w:r w:rsidR="00460244">
        <w:rPr>
          <w:lang w:val="fr-FR"/>
        </w:rPr>
        <w:t>pour qu</w:t>
      </w:r>
      <w:r w:rsidR="00603708">
        <w:rPr>
          <w:lang w:val="fr-FR"/>
        </w:rPr>
        <w:t>’</w:t>
      </w:r>
      <w:r w:rsidR="00460244">
        <w:rPr>
          <w:lang w:val="fr-FR"/>
        </w:rPr>
        <w:t>il</w:t>
      </w:r>
      <w:r w:rsidR="002508AF" w:rsidRPr="00EC00B2">
        <w:rPr>
          <w:lang w:val="fr-FR"/>
        </w:rPr>
        <w:t xml:space="preserve"> </w:t>
      </w:r>
      <w:r w:rsidR="00460244">
        <w:rPr>
          <w:lang w:val="fr-FR"/>
        </w:rPr>
        <w:t>avoue et qu</w:t>
      </w:r>
      <w:r w:rsidR="00603708">
        <w:rPr>
          <w:lang w:val="fr-FR"/>
        </w:rPr>
        <w:t>’</w:t>
      </w:r>
      <w:r w:rsidR="00460244">
        <w:rPr>
          <w:lang w:val="fr-FR"/>
        </w:rPr>
        <w:t>il livre</w:t>
      </w:r>
      <w:r w:rsidR="002508AF" w:rsidRPr="00EC00B2">
        <w:rPr>
          <w:lang w:val="fr-FR"/>
        </w:rPr>
        <w:t xml:space="preserve"> </w:t>
      </w:r>
      <w:r w:rsidR="00460244">
        <w:rPr>
          <w:lang w:val="fr-FR"/>
        </w:rPr>
        <w:t>des</w:t>
      </w:r>
      <w:r w:rsidR="002508AF" w:rsidRPr="00EC00B2">
        <w:rPr>
          <w:lang w:val="fr-FR"/>
        </w:rPr>
        <w:t xml:space="preserve"> information</w:t>
      </w:r>
      <w:r w:rsidR="00460244">
        <w:rPr>
          <w:lang w:val="fr-FR"/>
        </w:rPr>
        <w:t>s ;</w:t>
      </w:r>
      <w:r w:rsidR="002508AF" w:rsidRPr="00EC00B2">
        <w:rPr>
          <w:lang w:val="fr-FR"/>
        </w:rPr>
        <w:t xml:space="preserve"> </w:t>
      </w:r>
      <w:r w:rsidR="006A0E0D" w:rsidRPr="004A51F8">
        <w:rPr>
          <w:i/>
          <w:lang w:val="fr-FR"/>
        </w:rPr>
        <w:t>Bat</w:t>
      </w:r>
      <w:r w:rsidR="006A0E0D">
        <w:rPr>
          <w:rFonts w:cstheme="minorHAnsi"/>
          <w:i/>
          <w:lang w:val="fr-FR"/>
        </w:rPr>
        <w:t xml:space="preserve">ı </w:t>
      </w:r>
      <w:r w:rsidR="002508AF" w:rsidRPr="00AC0DAF">
        <w:rPr>
          <w:i/>
          <w:lang w:val="fr-FR"/>
        </w:rPr>
        <w:t>et autres</w:t>
      </w:r>
      <w:r w:rsidR="002508AF" w:rsidRPr="00AC0DAF">
        <w:rPr>
          <w:lang w:val="fr-FR"/>
        </w:rPr>
        <w:t>, précité, §§ 110, 122-124</w:t>
      </w:r>
      <w:r w:rsidR="002508AF" w:rsidRPr="004A51F8">
        <w:rPr>
          <w:lang w:val="fr-FR"/>
        </w:rPr>
        <w:t xml:space="preserve"> : </w:t>
      </w:r>
      <w:r w:rsidR="00C35755">
        <w:rPr>
          <w:lang w:val="fr-FR"/>
        </w:rPr>
        <w:t xml:space="preserve">les </w:t>
      </w:r>
      <w:r w:rsidR="002508AF" w:rsidRPr="004A51F8">
        <w:rPr>
          <w:lang w:val="fr-FR"/>
        </w:rPr>
        <w:t xml:space="preserve">requérants </w:t>
      </w:r>
      <w:r w:rsidR="00C35755">
        <w:rPr>
          <w:lang w:val="fr-FR"/>
        </w:rPr>
        <w:t xml:space="preserve">avaient été </w:t>
      </w:r>
      <w:r w:rsidR="002508AF" w:rsidRPr="004A51F8">
        <w:rPr>
          <w:lang w:val="fr-FR"/>
        </w:rPr>
        <w:t>privés d</w:t>
      </w:r>
      <w:r w:rsidR="00C35755">
        <w:rPr>
          <w:lang w:val="fr-FR"/>
        </w:rPr>
        <w:t>e</w:t>
      </w:r>
      <w:r w:rsidR="002508AF" w:rsidRPr="004A51F8">
        <w:rPr>
          <w:lang w:val="fr-FR"/>
        </w:rPr>
        <w:t xml:space="preserve"> sommeil et soumis à </w:t>
      </w:r>
      <w:r w:rsidR="00C35755">
        <w:rPr>
          <w:lang w:val="fr-FR"/>
        </w:rPr>
        <w:t xml:space="preserve">la </w:t>
      </w:r>
      <w:r w:rsidR="002508AF" w:rsidRPr="004A51F8">
        <w:rPr>
          <w:lang w:val="fr-FR"/>
        </w:rPr>
        <w:t xml:space="preserve">« pendaison palestinienne », </w:t>
      </w:r>
      <w:r w:rsidR="00C35755">
        <w:rPr>
          <w:lang w:val="fr-FR"/>
        </w:rPr>
        <w:t xml:space="preserve">à des </w:t>
      </w:r>
      <w:r w:rsidR="002508AF" w:rsidRPr="004A51F8">
        <w:rPr>
          <w:lang w:val="fr-FR"/>
        </w:rPr>
        <w:t>jet</w:t>
      </w:r>
      <w:r w:rsidR="00C35755">
        <w:rPr>
          <w:lang w:val="fr-FR"/>
        </w:rPr>
        <w:t>s</w:t>
      </w:r>
      <w:r w:rsidR="002508AF" w:rsidRPr="004A51F8">
        <w:rPr>
          <w:lang w:val="fr-FR"/>
        </w:rPr>
        <w:t xml:space="preserve"> d</w:t>
      </w:r>
      <w:r w:rsidR="00603708">
        <w:rPr>
          <w:lang w:val="fr-FR"/>
        </w:rPr>
        <w:t>’</w:t>
      </w:r>
      <w:r w:rsidR="002508AF" w:rsidRPr="004A51F8">
        <w:rPr>
          <w:lang w:val="fr-FR"/>
        </w:rPr>
        <w:t xml:space="preserve">eau, </w:t>
      </w:r>
      <w:r w:rsidR="00C35755">
        <w:rPr>
          <w:lang w:val="fr-FR"/>
        </w:rPr>
        <w:t xml:space="preserve">à des </w:t>
      </w:r>
      <w:r w:rsidR="002508AF" w:rsidRPr="004A51F8">
        <w:rPr>
          <w:lang w:val="fr-FR"/>
        </w:rPr>
        <w:t>coup</w:t>
      </w:r>
      <w:r w:rsidR="00C35755">
        <w:rPr>
          <w:lang w:val="fr-FR"/>
        </w:rPr>
        <w:t>s</w:t>
      </w:r>
      <w:r w:rsidR="002508AF" w:rsidRPr="004A51F8">
        <w:rPr>
          <w:lang w:val="fr-FR"/>
        </w:rPr>
        <w:t xml:space="preserve"> répétés et </w:t>
      </w:r>
      <w:r w:rsidR="00C35755">
        <w:rPr>
          <w:lang w:val="fr-FR"/>
        </w:rPr>
        <w:t xml:space="preserve">au </w:t>
      </w:r>
      <w:r w:rsidR="002508AF" w:rsidRPr="004A51F8">
        <w:rPr>
          <w:lang w:val="fr-FR"/>
        </w:rPr>
        <w:t xml:space="preserve">supplice de la </w:t>
      </w:r>
      <w:r w:rsidR="002508AF" w:rsidRPr="004A51F8">
        <w:rPr>
          <w:i/>
          <w:lang w:val="fr-FR"/>
        </w:rPr>
        <w:t>falaka</w:t>
      </w:r>
      <w:r w:rsidR="002508AF" w:rsidRPr="004A51F8">
        <w:rPr>
          <w:lang w:val="fr-FR"/>
        </w:rPr>
        <w:t xml:space="preserve"> pendant plusieurs jours, </w:t>
      </w:r>
      <w:r w:rsidR="00C35755">
        <w:rPr>
          <w:lang w:val="fr-FR"/>
        </w:rPr>
        <w:t>pour qu</w:t>
      </w:r>
      <w:r w:rsidR="00603708">
        <w:rPr>
          <w:lang w:val="fr-FR"/>
        </w:rPr>
        <w:t>’</w:t>
      </w:r>
      <w:r w:rsidR="00C35755">
        <w:rPr>
          <w:lang w:val="fr-FR"/>
        </w:rPr>
        <w:t xml:space="preserve">ils avouent leur </w:t>
      </w:r>
      <w:r w:rsidR="002508AF" w:rsidRPr="004A51F8">
        <w:rPr>
          <w:lang w:val="fr-FR"/>
        </w:rPr>
        <w:t>appartenance à un parti politique</w:t>
      </w:r>
      <w:r w:rsidR="00C35755">
        <w:rPr>
          <w:lang w:val="fr-FR"/>
        </w:rPr>
        <w:t> ;</w:t>
      </w:r>
      <w:r w:rsidR="002508AF" w:rsidRPr="004A51F8">
        <w:rPr>
          <w:lang w:val="fr-FR"/>
        </w:rPr>
        <w:t xml:space="preserve"> </w:t>
      </w:r>
      <w:r w:rsidR="002508AF" w:rsidRPr="00AC0DAF">
        <w:rPr>
          <w:i/>
          <w:lang w:val="fr-FR"/>
        </w:rPr>
        <w:t>Abdülsamet Yaman c</w:t>
      </w:r>
      <w:r w:rsidR="001A6957" w:rsidRPr="00AC0DAF">
        <w:rPr>
          <w:i/>
          <w:lang w:val="fr-FR"/>
        </w:rPr>
        <w:t>.</w:t>
      </w:r>
      <w:r w:rsidR="001A6957">
        <w:rPr>
          <w:i/>
          <w:lang w:val="fr-FR"/>
        </w:rPr>
        <w:t> </w:t>
      </w:r>
      <w:r w:rsidR="002508AF" w:rsidRPr="00AC0DAF">
        <w:rPr>
          <w:i/>
          <w:lang w:val="fr-FR"/>
        </w:rPr>
        <w:t>Turquie</w:t>
      </w:r>
      <w:r w:rsidR="002508AF" w:rsidRPr="00AC0DAF">
        <w:rPr>
          <w:lang w:val="fr-FR"/>
        </w:rPr>
        <w:t xml:space="preserve">, </w:t>
      </w:r>
      <w:r w:rsidR="002508AF" w:rsidRPr="00AC0DAF">
        <w:rPr>
          <w:rStyle w:val="sb8d990e2"/>
          <w:lang w:val="fr-FR"/>
        </w:rPr>
        <w:t>n</w:t>
      </w:r>
      <w:r w:rsidR="002508AF" w:rsidRPr="00AC0DAF">
        <w:rPr>
          <w:rStyle w:val="sea881cdfhasverticalalignsuper"/>
          <w:vertAlign w:val="superscript"/>
          <w:lang w:val="fr-FR"/>
        </w:rPr>
        <w:t>o</w:t>
      </w:r>
      <w:r w:rsidR="002501C0">
        <w:rPr>
          <w:rStyle w:val="sea881cdfhasverticalalignsuper"/>
          <w:vertAlign w:val="superscript"/>
          <w:lang w:val="fr-FR"/>
        </w:rPr>
        <w:t> </w:t>
      </w:r>
      <w:r w:rsidR="002508AF" w:rsidRPr="00AC0DAF">
        <w:rPr>
          <w:lang w:val="fr-FR"/>
        </w:rPr>
        <w:t>32446/96, §§ 19-20, 2 novembre 2004</w:t>
      </w:r>
      <w:r w:rsidR="002508AF" w:rsidRPr="00EC00B2">
        <w:rPr>
          <w:lang w:val="fr-FR"/>
        </w:rPr>
        <w:t> :</w:t>
      </w:r>
      <w:r w:rsidR="002508AF" w:rsidRPr="004A51F8">
        <w:rPr>
          <w:lang w:val="fr-FR"/>
        </w:rPr>
        <w:t xml:space="preserve"> </w:t>
      </w:r>
      <w:r w:rsidR="00D45DF4">
        <w:rPr>
          <w:lang w:val="fr-FR"/>
        </w:rPr>
        <w:t xml:space="preserve">le </w:t>
      </w:r>
      <w:r w:rsidR="002508AF" w:rsidRPr="004A51F8">
        <w:rPr>
          <w:lang w:val="fr-FR"/>
        </w:rPr>
        <w:t xml:space="preserve">requérant </w:t>
      </w:r>
      <w:r w:rsidR="00D45DF4">
        <w:rPr>
          <w:lang w:val="fr-FR"/>
        </w:rPr>
        <w:t xml:space="preserve">avait été </w:t>
      </w:r>
      <w:r w:rsidR="002508AF" w:rsidRPr="004A51F8">
        <w:rPr>
          <w:lang w:val="fr-FR"/>
        </w:rPr>
        <w:t xml:space="preserve">soumis à </w:t>
      </w:r>
      <w:r w:rsidR="00D45DF4">
        <w:rPr>
          <w:lang w:val="fr-FR"/>
        </w:rPr>
        <w:t xml:space="preserve">la </w:t>
      </w:r>
      <w:r w:rsidR="002508AF" w:rsidRPr="004A51F8">
        <w:rPr>
          <w:lang w:val="fr-FR"/>
        </w:rPr>
        <w:t xml:space="preserve">« pendaison palestinienne », </w:t>
      </w:r>
      <w:r w:rsidR="00D45DF4">
        <w:rPr>
          <w:lang w:val="fr-FR"/>
        </w:rPr>
        <w:t xml:space="preserve">à des </w:t>
      </w:r>
      <w:r w:rsidR="002508AF" w:rsidRPr="004A51F8">
        <w:rPr>
          <w:lang w:val="fr-FR"/>
        </w:rPr>
        <w:t>jet</w:t>
      </w:r>
      <w:r w:rsidR="00D45DF4">
        <w:rPr>
          <w:lang w:val="fr-FR"/>
        </w:rPr>
        <w:t>s</w:t>
      </w:r>
      <w:r w:rsidR="002508AF" w:rsidRPr="004A51F8">
        <w:rPr>
          <w:lang w:val="fr-FR"/>
        </w:rPr>
        <w:t xml:space="preserve"> d</w:t>
      </w:r>
      <w:r w:rsidR="00603708">
        <w:rPr>
          <w:lang w:val="fr-FR"/>
        </w:rPr>
        <w:t>’</w:t>
      </w:r>
      <w:r w:rsidR="002508AF" w:rsidRPr="004A51F8">
        <w:rPr>
          <w:lang w:val="fr-FR"/>
        </w:rPr>
        <w:t xml:space="preserve">eau et </w:t>
      </w:r>
      <w:r w:rsidR="00D45DF4">
        <w:rPr>
          <w:lang w:val="fr-FR"/>
        </w:rPr>
        <w:t xml:space="preserve">à des </w:t>
      </w:r>
      <w:r w:rsidR="002508AF" w:rsidRPr="004A51F8">
        <w:rPr>
          <w:lang w:val="fr-FR"/>
        </w:rPr>
        <w:t>électrochoc</w:t>
      </w:r>
      <w:r w:rsidR="008E00A0">
        <w:rPr>
          <w:lang w:val="fr-FR"/>
        </w:rPr>
        <w:t>s</w:t>
      </w:r>
      <w:r w:rsidR="002508AF" w:rsidRPr="004A51F8">
        <w:rPr>
          <w:lang w:val="fr-FR"/>
        </w:rPr>
        <w:t xml:space="preserve"> pendant plusieurs jours</w:t>
      </w:r>
      <w:r w:rsidR="00D45DF4">
        <w:rPr>
          <w:lang w:val="fr-FR"/>
        </w:rPr>
        <w:t xml:space="preserve"> pour qu</w:t>
      </w:r>
      <w:r w:rsidR="00603708">
        <w:rPr>
          <w:lang w:val="fr-FR"/>
        </w:rPr>
        <w:t>’</w:t>
      </w:r>
      <w:r w:rsidR="00D45DF4">
        <w:rPr>
          <w:lang w:val="fr-FR"/>
        </w:rPr>
        <w:t>il passe aux aveux</w:t>
      </w:r>
      <w:r w:rsidR="005C17F6">
        <w:rPr>
          <w:lang w:val="fr-FR"/>
        </w:rPr>
        <w:t xml:space="preserve"> ; </w:t>
      </w:r>
      <w:r w:rsidR="003832A7" w:rsidRPr="00AC0DAF">
        <w:rPr>
          <w:i/>
          <w:lang w:val="fr-FR"/>
        </w:rPr>
        <w:t>Polonski</w:t>
      </w:r>
      <w:r w:rsidR="004E64D7" w:rsidRPr="00AC0DAF">
        <w:rPr>
          <w:i/>
          <w:lang w:val="fr-FR"/>
        </w:rPr>
        <w:t>y</w:t>
      </w:r>
      <w:r w:rsidR="003832A7" w:rsidRPr="00AC0DAF">
        <w:rPr>
          <w:i/>
          <w:lang w:val="fr-FR"/>
        </w:rPr>
        <w:t xml:space="preserve"> c. Russie</w:t>
      </w:r>
      <w:r w:rsidR="003832A7" w:rsidRPr="00AC0DAF">
        <w:rPr>
          <w:lang w:val="fr-FR"/>
        </w:rPr>
        <w:t>, n</w:t>
      </w:r>
      <w:r w:rsidR="003832A7" w:rsidRPr="00AC0DAF">
        <w:rPr>
          <w:vertAlign w:val="superscript"/>
          <w:lang w:val="fr-FR"/>
        </w:rPr>
        <w:t>o</w:t>
      </w:r>
      <w:r w:rsidR="002501C0">
        <w:rPr>
          <w:vertAlign w:val="superscript"/>
          <w:lang w:val="fr-FR"/>
        </w:rPr>
        <w:t> </w:t>
      </w:r>
      <w:r w:rsidR="003832A7" w:rsidRPr="00AC0DAF">
        <w:rPr>
          <w:lang w:val="fr-FR"/>
        </w:rPr>
        <w:t xml:space="preserve">30033/05, </w:t>
      </w:r>
      <w:r w:rsidR="003832A7" w:rsidRPr="00AC0DAF">
        <w:rPr>
          <w:snapToGrid w:val="0"/>
          <w:lang w:val="fr-FR"/>
        </w:rPr>
        <w:t xml:space="preserve">§ 124, 19 </w:t>
      </w:r>
      <w:r w:rsidR="003832A7" w:rsidRPr="00AC0DAF">
        <w:rPr>
          <w:lang w:val="fr-FR"/>
        </w:rPr>
        <w:t>mars</w:t>
      </w:r>
      <w:r w:rsidR="003832A7" w:rsidRPr="00AC0DAF">
        <w:rPr>
          <w:snapToGrid w:val="0"/>
          <w:lang w:val="fr-FR"/>
        </w:rPr>
        <w:t xml:space="preserve"> 2009</w:t>
      </w:r>
      <w:r w:rsidR="003832A7">
        <w:rPr>
          <w:snapToGrid w:val="0"/>
          <w:lang w:val="fr-FR"/>
        </w:rPr>
        <w:t> :</w:t>
      </w:r>
      <w:r w:rsidR="00D45DF4">
        <w:rPr>
          <w:snapToGrid w:val="0"/>
          <w:lang w:val="fr-FR"/>
        </w:rPr>
        <w:t xml:space="preserve"> le </w:t>
      </w:r>
      <w:r w:rsidR="003832A7">
        <w:rPr>
          <w:snapToGrid w:val="0"/>
          <w:lang w:val="fr-FR"/>
        </w:rPr>
        <w:t xml:space="preserve">requérant </w:t>
      </w:r>
      <w:r w:rsidR="00D45DF4">
        <w:rPr>
          <w:snapToGrid w:val="0"/>
          <w:lang w:val="fr-FR"/>
        </w:rPr>
        <w:t xml:space="preserve">avait été </w:t>
      </w:r>
      <w:r w:rsidR="003832A7">
        <w:rPr>
          <w:snapToGrid w:val="0"/>
          <w:lang w:val="fr-FR"/>
        </w:rPr>
        <w:t>frappé plusieurs fois et à divers endroit</w:t>
      </w:r>
      <w:r w:rsidR="00954950">
        <w:rPr>
          <w:snapToGrid w:val="0"/>
          <w:lang w:val="fr-FR"/>
        </w:rPr>
        <w:t>s</w:t>
      </w:r>
      <w:r w:rsidR="003832A7">
        <w:rPr>
          <w:snapToGrid w:val="0"/>
          <w:lang w:val="fr-FR"/>
        </w:rPr>
        <w:t xml:space="preserve"> du corps</w:t>
      </w:r>
      <w:r w:rsidR="00D45DF4">
        <w:rPr>
          <w:snapToGrid w:val="0"/>
          <w:lang w:val="fr-FR"/>
        </w:rPr>
        <w:t>,</w:t>
      </w:r>
      <w:r w:rsidR="003832A7">
        <w:rPr>
          <w:snapToGrid w:val="0"/>
          <w:lang w:val="fr-FR"/>
        </w:rPr>
        <w:t xml:space="preserve"> et soumis à </w:t>
      </w:r>
      <w:r w:rsidR="00D45DF4">
        <w:rPr>
          <w:snapToGrid w:val="0"/>
          <w:lang w:val="fr-FR"/>
        </w:rPr>
        <w:t xml:space="preserve">des </w:t>
      </w:r>
      <w:r w:rsidR="003832A7">
        <w:rPr>
          <w:snapToGrid w:val="0"/>
          <w:lang w:val="fr-FR"/>
        </w:rPr>
        <w:t>électrochoc</w:t>
      </w:r>
      <w:r w:rsidR="00D45DF4">
        <w:rPr>
          <w:snapToGrid w:val="0"/>
          <w:lang w:val="fr-FR"/>
        </w:rPr>
        <w:t>s</w:t>
      </w:r>
      <w:r w:rsidR="003832A7">
        <w:rPr>
          <w:snapToGrid w:val="0"/>
          <w:lang w:val="fr-FR"/>
        </w:rPr>
        <w:t xml:space="preserve"> </w:t>
      </w:r>
      <w:r w:rsidR="00D45DF4">
        <w:rPr>
          <w:lang w:val="fr-FR"/>
        </w:rPr>
        <w:t>pour qu</w:t>
      </w:r>
      <w:r w:rsidR="00603708">
        <w:rPr>
          <w:lang w:val="fr-FR"/>
        </w:rPr>
        <w:t>’</w:t>
      </w:r>
      <w:r w:rsidR="00D45DF4">
        <w:rPr>
          <w:lang w:val="fr-FR"/>
        </w:rPr>
        <w:t>il avoue</w:t>
      </w:r>
      <w:r w:rsidR="003832A7">
        <w:rPr>
          <w:lang w:val="fr-FR"/>
        </w:rPr>
        <w:t xml:space="preserve"> un délit</w:t>
      </w:r>
      <w:r w:rsidR="00D45DF4">
        <w:rPr>
          <w:lang w:val="fr-FR"/>
        </w:rPr>
        <w:t xml:space="preserve"> </w:t>
      </w:r>
      <w:r w:rsidR="003832A7">
        <w:rPr>
          <w:lang w:val="fr-FR"/>
        </w:rPr>
        <w:t xml:space="preserve">– il </w:t>
      </w:r>
      <w:r w:rsidR="00D45DF4">
        <w:rPr>
          <w:lang w:val="fr-FR"/>
        </w:rPr>
        <w:t xml:space="preserve">convient </w:t>
      </w:r>
      <w:r w:rsidR="003832A7">
        <w:rPr>
          <w:lang w:val="fr-FR"/>
        </w:rPr>
        <w:t>de remarquer que la Cour a conclu à la « torture » même en l</w:t>
      </w:r>
      <w:r w:rsidR="00603708">
        <w:rPr>
          <w:lang w:val="fr-FR"/>
        </w:rPr>
        <w:t>’</w:t>
      </w:r>
      <w:r w:rsidR="003832A7">
        <w:rPr>
          <w:lang w:val="fr-FR"/>
        </w:rPr>
        <w:t>absence de séquelles physiques de longue durée</w:t>
      </w:r>
      <w:r w:rsidR="00D45DF4">
        <w:rPr>
          <w:lang w:val="fr-FR"/>
        </w:rPr>
        <w:t> </w:t>
      </w:r>
      <w:r w:rsidR="00D45DF4">
        <w:rPr>
          <w:snapToGrid w:val="0"/>
          <w:lang w:val="fr-FR"/>
        </w:rPr>
        <w:t>;</w:t>
      </w:r>
      <w:r w:rsidR="003832A7">
        <w:rPr>
          <w:snapToGrid w:val="0"/>
          <w:lang w:val="fr-FR"/>
        </w:rPr>
        <w:t xml:space="preserve"> </w:t>
      </w:r>
      <w:r w:rsidR="005C17F6" w:rsidRPr="00AC0DAF">
        <w:rPr>
          <w:i/>
          <w:lang w:val="fr-FR"/>
        </w:rPr>
        <w:t>Kopylov</w:t>
      </w:r>
      <w:r w:rsidR="005C17F6" w:rsidRPr="00AC0DAF">
        <w:rPr>
          <w:lang w:val="fr-FR"/>
        </w:rPr>
        <w:t>, précité, §§ 125-126</w:t>
      </w:r>
      <w:r w:rsidR="005C17F6" w:rsidRPr="00304F9C">
        <w:rPr>
          <w:lang w:val="fr-FR"/>
        </w:rPr>
        <w:t> :</w:t>
      </w:r>
      <w:r w:rsidR="000E4842">
        <w:rPr>
          <w:lang w:val="fr-FR"/>
        </w:rPr>
        <w:t xml:space="preserve"> </w:t>
      </w:r>
      <w:r w:rsidR="001A6957">
        <w:rPr>
          <w:lang w:val="fr-FR"/>
        </w:rPr>
        <w:t>pour qu</w:t>
      </w:r>
      <w:r w:rsidR="00603708">
        <w:rPr>
          <w:lang w:val="fr-FR"/>
        </w:rPr>
        <w:t>’</w:t>
      </w:r>
      <w:r w:rsidR="001A6957">
        <w:rPr>
          <w:lang w:val="fr-FR"/>
        </w:rPr>
        <w:t xml:space="preserve">il avouât un délit, </w:t>
      </w:r>
      <w:r w:rsidR="00D45DF4">
        <w:rPr>
          <w:lang w:val="fr-FR"/>
        </w:rPr>
        <w:t xml:space="preserve">le </w:t>
      </w:r>
      <w:r w:rsidR="005C17F6">
        <w:rPr>
          <w:lang w:val="fr-FR"/>
        </w:rPr>
        <w:t xml:space="preserve">requérant </w:t>
      </w:r>
      <w:r w:rsidR="00D45DF4">
        <w:rPr>
          <w:lang w:val="fr-FR"/>
        </w:rPr>
        <w:t xml:space="preserve">avait été </w:t>
      </w:r>
      <w:r w:rsidR="00BF0539" w:rsidRPr="00BF0539">
        <w:rPr>
          <w:lang w:val="fr-FR"/>
        </w:rPr>
        <w:t>sus</w:t>
      </w:r>
      <w:r w:rsidR="005C17F6" w:rsidRPr="00BF0539">
        <w:rPr>
          <w:lang w:val="fr-FR"/>
        </w:rPr>
        <w:t xml:space="preserve">pendu </w:t>
      </w:r>
      <w:r w:rsidR="00BF0539" w:rsidRPr="000B5793">
        <w:rPr>
          <w:lang w:val="fr-FR"/>
        </w:rPr>
        <w:t>au moyen d</w:t>
      </w:r>
      <w:r w:rsidR="00603708">
        <w:rPr>
          <w:lang w:val="fr-FR"/>
        </w:rPr>
        <w:t>’</w:t>
      </w:r>
      <w:r w:rsidR="00BF0539" w:rsidRPr="000B5793">
        <w:rPr>
          <w:lang w:val="fr-FR"/>
        </w:rPr>
        <w:t>une corde avec les</w:t>
      </w:r>
      <w:r w:rsidR="005C17F6" w:rsidRPr="00BF0539">
        <w:rPr>
          <w:lang w:val="fr-FR"/>
        </w:rPr>
        <w:t xml:space="preserve"> </w:t>
      </w:r>
      <w:r w:rsidR="00BF0539" w:rsidRPr="000B5793">
        <w:rPr>
          <w:lang w:val="fr-FR"/>
        </w:rPr>
        <w:t>mains liées dans le dos</w:t>
      </w:r>
      <w:r w:rsidR="005C17F6" w:rsidRPr="00BF0539">
        <w:rPr>
          <w:lang w:val="fr-FR"/>
        </w:rPr>
        <w:t>, matraqué,</w:t>
      </w:r>
      <w:r w:rsidR="005C17F6">
        <w:rPr>
          <w:lang w:val="fr-FR"/>
        </w:rPr>
        <w:t xml:space="preserve"> tabassé et </w:t>
      </w:r>
      <w:r w:rsidR="005C337F">
        <w:rPr>
          <w:lang w:val="fr-FR"/>
        </w:rPr>
        <w:t>soumis</w:t>
      </w:r>
      <w:r w:rsidR="00837E1C">
        <w:rPr>
          <w:lang w:val="fr-FR"/>
        </w:rPr>
        <w:t>,</w:t>
      </w:r>
      <w:r w:rsidR="005C17F6">
        <w:rPr>
          <w:lang w:val="fr-FR"/>
        </w:rPr>
        <w:t xml:space="preserve"> </w:t>
      </w:r>
      <w:r w:rsidR="00543EFD">
        <w:rPr>
          <w:lang w:val="fr-FR"/>
        </w:rPr>
        <w:t>pendant quatre mois environ</w:t>
      </w:r>
      <w:r w:rsidR="005C17F6">
        <w:rPr>
          <w:lang w:val="fr-FR"/>
        </w:rPr>
        <w:t xml:space="preserve">, </w:t>
      </w:r>
      <w:r w:rsidR="00837E1C">
        <w:rPr>
          <w:lang w:val="fr-FR"/>
        </w:rPr>
        <w:t>à plusieurs autres sévices</w:t>
      </w:r>
      <w:r w:rsidR="004A046B">
        <w:rPr>
          <w:lang w:val="fr-FR"/>
        </w:rPr>
        <w:t xml:space="preserve">, ce qui a </w:t>
      </w:r>
      <w:r w:rsidR="005C17F6">
        <w:rPr>
          <w:lang w:val="fr-FR"/>
        </w:rPr>
        <w:t>entra</w:t>
      </w:r>
      <w:r w:rsidR="00D45DF4">
        <w:rPr>
          <w:lang w:val="fr-FR"/>
        </w:rPr>
        <w:t>î</w:t>
      </w:r>
      <w:r w:rsidR="005C17F6">
        <w:rPr>
          <w:lang w:val="fr-FR"/>
        </w:rPr>
        <w:t>né des séquelles graves et irréversibles</w:t>
      </w:r>
      <w:r w:rsidR="00543EFD">
        <w:rPr>
          <w:lang w:val="fr-FR"/>
        </w:rPr>
        <w:t xml:space="preserve"> ; </w:t>
      </w:r>
      <w:r w:rsidR="00754862" w:rsidRPr="00AC0DAF">
        <w:rPr>
          <w:i/>
          <w:lang w:val="fr-FR"/>
        </w:rPr>
        <w:t>El-Masri</w:t>
      </w:r>
      <w:r w:rsidR="00754862" w:rsidRPr="00AC0DAF">
        <w:rPr>
          <w:lang w:val="fr-FR"/>
        </w:rPr>
        <w:t xml:space="preserve">, précité, </w:t>
      </w:r>
      <w:r w:rsidR="004A046B" w:rsidRPr="00AC0DAF">
        <w:rPr>
          <w:lang w:val="fr-FR"/>
        </w:rPr>
        <w:t>§§</w:t>
      </w:r>
      <w:r w:rsidR="004A046B">
        <w:rPr>
          <w:lang w:val="fr-FR"/>
        </w:rPr>
        <w:t> </w:t>
      </w:r>
      <w:r w:rsidR="00754862" w:rsidRPr="00AC0DAF">
        <w:rPr>
          <w:lang w:val="fr-FR"/>
        </w:rPr>
        <w:t>205-211</w:t>
      </w:r>
      <w:r w:rsidR="00754862" w:rsidRPr="00304F9C">
        <w:rPr>
          <w:lang w:val="fr-FR"/>
        </w:rPr>
        <w:t> :</w:t>
      </w:r>
      <w:r w:rsidR="00754862">
        <w:rPr>
          <w:lang w:val="fr-FR"/>
        </w:rPr>
        <w:t xml:space="preserve"> </w:t>
      </w:r>
      <w:r w:rsidR="00D45DF4">
        <w:rPr>
          <w:lang w:val="fr-FR"/>
        </w:rPr>
        <w:t xml:space="preserve">le </w:t>
      </w:r>
      <w:r w:rsidR="00754862">
        <w:rPr>
          <w:lang w:val="fr-FR"/>
        </w:rPr>
        <w:t xml:space="preserve">requérant </w:t>
      </w:r>
      <w:r w:rsidR="00D45DF4">
        <w:rPr>
          <w:lang w:val="fr-FR"/>
        </w:rPr>
        <w:t xml:space="preserve">avait été </w:t>
      </w:r>
      <w:r w:rsidR="00754862">
        <w:rPr>
          <w:lang w:val="fr-FR"/>
        </w:rPr>
        <w:t>roué de coups,</w:t>
      </w:r>
      <w:r w:rsidR="00543EFD" w:rsidRPr="008F7BFA">
        <w:rPr>
          <w:lang w:val="fr-FR"/>
        </w:rPr>
        <w:t xml:space="preserve"> déshabillé de force et</w:t>
      </w:r>
      <w:r w:rsidR="002A2F4E">
        <w:rPr>
          <w:lang w:val="fr-FR"/>
        </w:rPr>
        <w:t xml:space="preserve"> soumis à l</w:t>
      </w:r>
      <w:r w:rsidR="00603708">
        <w:rPr>
          <w:lang w:val="fr-FR"/>
        </w:rPr>
        <w:t>’</w:t>
      </w:r>
      <w:r w:rsidR="002A2F4E">
        <w:rPr>
          <w:lang w:val="fr-FR"/>
        </w:rPr>
        <w:t xml:space="preserve">administration </w:t>
      </w:r>
      <w:r w:rsidR="00026371">
        <w:rPr>
          <w:lang w:val="fr-FR"/>
        </w:rPr>
        <w:t>de force d</w:t>
      </w:r>
      <w:r w:rsidR="00603708">
        <w:rPr>
          <w:lang w:val="fr-FR"/>
        </w:rPr>
        <w:t>’</w:t>
      </w:r>
      <w:r w:rsidR="00F42DDF">
        <w:rPr>
          <w:lang w:val="fr-FR"/>
        </w:rPr>
        <w:t>un</w:t>
      </w:r>
      <w:r w:rsidR="002A2F4E">
        <w:rPr>
          <w:lang w:val="fr-FR"/>
        </w:rPr>
        <w:t xml:space="preserve"> suppositoire</w:t>
      </w:r>
      <w:r w:rsidR="00026371">
        <w:rPr>
          <w:lang w:val="fr-FR"/>
        </w:rPr>
        <w:t>,</w:t>
      </w:r>
      <w:r w:rsidR="002A2F4E">
        <w:rPr>
          <w:lang w:val="fr-FR"/>
        </w:rPr>
        <w:t xml:space="preserve"> puis</w:t>
      </w:r>
      <w:r w:rsidR="002A2F4E" w:rsidRPr="008F7BFA">
        <w:rPr>
          <w:lang w:val="fr-FR"/>
        </w:rPr>
        <w:t xml:space="preserve"> </w:t>
      </w:r>
      <w:r w:rsidR="002A2F4E">
        <w:rPr>
          <w:lang w:val="fr-FR"/>
        </w:rPr>
        <w:t>enchaîné et encapuchonné avant d</w:t>
      </w:r>
      <w:r w:rsidR="00603708">
        <w:rPr>
          <w:lang w:val="fr-FR"/>
        </w:rPr>
        <w:t>’</w:t>
      </w:r>
      <w:r w:rsidR="002A2F4E">
        <w:rPr>
          <w:lang w:val="fr-FR"/>
        </w:rPr>
        <w:t xml:space="preserve">être </w:t>
      </w:r>
      <w:r w:rsidR="002A2F4E" w:rsidRPr="008F7BFA">
        <w:rPr>
          <w:lang w:val="fr-FR"/>
        </w:rPr>
        <w:t xml:space="preserve">traîné </w:t>
      </w:r>
      <w:r w:rsidR="00026371">
        <w:rPr>
          <w:lang w:val="fr-FR"/>
        </w:rPr>
        <w:t xml:space="preserve">de force </w:t>
      </w:r>
      <w:r w:rsidR="00543EFD" w:rsidRPr="008F7BFA">
        <w:rPr>
          <w:lang w:val="fr-FR"/>
        </w:rPr>
        <w:t>jusqu</w:t>
      </w:r>
      <w:r w:rsidR="00603708">
        <w:rPr>
          <w:lang w:val="fr-FR"/>
        </w:rPr>
        <w:t>’</w:t>
      </w:r>
      <w:r w:rsidR="00543EFD" w:rsidRPr="008F7BFA">
        <w:rPr>
          <w:lang w:val="fr-FR"/>
        </w:rPr>
        <w:t>à un avion</w:t>
      </w:r>
      <w:r w:rsidR="00026371">
        <w:rPr>
          <w:lang w:val="fr-FR"/>
        </w:rPr>
        <w:t xml:space="preserve">, où il </w:t>
      </w:r>
      <w:r w:rsidR="00D45DF4">
        <w:rPr>
          <w:lang w:val="fr-FR"/>
        </w:rPr>
        <w:t>avait été</w:t>
      </w:r>
      <w:r w:rsidR="00026371">
        <w:rPr>
          <w:lang w:val="fr-FR"/>
        </w:rPr>
        <w:t xml:space="preserve"> jeté </w:t>
      </w:r>
      <w:r w:rsidR="00D45DF4">
        <w:rPr>
          <w:lang w:val="fr-FR"/>
        </w:rPr>
        <w:t xml:space="preserve">à </w:t>
      </w:r>
      <w:r w:rsidR="00026371">
        <w:rPr>
          <w:lang w:val="fr-FR"/>
        </w:rPr>
        <w:t xml:space="preserve">terre, </w:t>
      </w:r>
      <w:r w:rsidR="00026371" w:rsidRPr="008F7BFA">
        <w:rPr>
          <w:lang w:val="fr-FR"/>
        </w:rPr>
        <w:t>attaché et mis de force sous sédatifs</w:t>
      </w:r>
      <w:r w:rsidR="002A2F4E">
        <w:rPr>
          <w:lang w:val="fr-FR"/>
        </w:rPr>
        <w:t xml:space="preserve"> ; </w:t>
      </w:r>
      <w:r w:rsidR="005C337F">
        <w:rPr>
          <w:lang w:val="fr-FR"/>
        </w:rPr>
        <w:t xml:space="preserve">selon la Cour, </w:t>
      </w:r>
      <w:r w:rsidR="002A2F4E">
        <w:rPr>
          <w:lang w:val="fr-FR"/>
        </w:rPr>
        <w:t>l</w:t>
      </w:r>
      <w:r w:rsidR="00603708">
        <w:rPr>
          <w:lang w:val="fr-FR"/>
        </w:rPr>
        <w:t>’</w:t>
      </w:r>
      <w:r w:rsidR="002A2F4E">
        <w:rPr>
          <w:lang w:val="fr-FR"/>
        </w:rPr>
        <w:t>ensemble de ces traitements, perpétrés dans le cadre d</w:t>
      </w:r>
      <w:r w:rsidR="00603708">
        <w:rPr>
          <w:lang w:val="fr-FR"/>
        </w:rPr>
        <w:t>’</w:t>
      </w:r>
      <w:r w:rsidR="002A2F4E">
        <w:rPr>
          <w:lang w:val="fr-FR"/>
        </w:rPr>
        <w:t>une « </w:t>
      </w:r>
      <w:r w:rsidR="002A2F4E" w:rsidRPr="008F7BFA">
        <w:rPr>
          <w:lang w:val="fr-FR"/>
        </w:rPr>
        <w:t>remise extraordinaire »</w:t>
      </w:r>
      <w:r w:rsidR="002A2F4E">
        <w:rPr>
          <w:lang w:val="fr-FR"/>
        </w:rPr>
        <w:t xml:space="preserve">, visait à </w:t>
      </w:r>
      <w:r w:rsidR="002A2F4E" w:rsidRPr="008F7BFA">
        <w:rPr>
          <w:rStyle w:val="sb8d990e2"/>
          <w:lang w:val="fr-FR"/>
        </w:rPr>
        <w:t>obtenir des renseignements de l</w:t>
      </w:r>
      <w:r w:rsidR="00603708">
        <w:rPr>
          <w:rStyle w:val="sb8d990e2"/>
          <w:lang w:val="fr-FR"/>
        </w:rPr>
        <w:t>’</w:t>
      </w:r>
      <w:r w:rsidR="002A2F4E" w:rsidRPr="008F7BFA">
        <w:rPr>
          <w:rStyle w:val="sb8d990e2"/>
          <w:lang w:val="fr-FR"/>
        </w:rPr>
        <w:t xml:space="preserve">intéressé, </w:t>
      </w:r>
      <w:r w:rsidR="00E268C4">
        <w:rPr>
          <w:rStyle w:val="sb8d990e2"/>
          <w:lang w:val="fr-FR"/>
        </w:rPr>
        <w:t>à</w:t>
      </w:r>
      <w:r w:rsidR="002A2F4E" w:rsidRPr="008F7BFA">
        <w:rPr>
          <w:rStyle w:val="sb8d990e2"/>
          <w:lang w:val="fr-FR"/>
        </w:rPr>
        <w:t xml:space="preserve"> le punir ou </w:t>
      </w:r>
      <w:r w:rsidR="00E268C4">
        <w:rPr>
          <w:rStyle w:val="sb8d990e2"/>
          <w:lang w:val="fr-FR"/>
        </w:rPr>
        <w:t>à</w:t>
      </w:r>
      <w:r w:rsidR="00E268C4" w:rsidRPr="008F7BFA">
        <w:rPr>
          <w:rStyle w:val="sb8d990e2"/>
          <w:lang w:val="fr-FR"/>
        </w:rPr>
        <w:t xml:space="preserve"> </w:t>
      </w:r>
      <w:r w:rsidR="002A2F4E" w:rsidRPr="008F7BFA">
        <w:rPr>
          <w:rStyle w:val="sb8d990e2"/>
          <w:lang w:val="fr-FR"/>
        </w:rPr>
        <w:t>l</w:t>
      </w:r>
      <w:r w:rsidR="00603708">
        <w:rPr>
          <w:rStyle w:val="sb8d990e2"/>
          <w:lang w:val="fr-FR"/>
        </w:rPr>
        <w:t>’</w:t>
      </w:r>
      <w:r w:rsidR="002A2F4E" w:rsidRPr="008F7BFA">
        <w:rPr>
          <w:rStyle w:val="sb8d990e2"/>
          <w:lang w:val="fr-FR"/>
        </w:rPr>
        <w:t>intimider</w:t>
      </w:r>
      <w:r w:rsidR="002508AF" w:rsidRPr="000E4842">
        <w:rPr>
          <w:lang w:val="fr-FR"/>
        </w:rPr>
        <w:t>).</w:t>
      </w:r>
    </w:p>
    <w:p w:rsidR="002508AF" w:rsidRPr="004A51F8" w:rsidRDefault="002A2F4E" w:rsidP="002508AF">
      <w:pPr>
        <w:tabs>
          <w:tab w:val="num" w:pos="780"/>
        </w:tabs>
        <w:ind w:firstLine="360"/>
        <w:rPr>
          <w:i/>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173</w:t>
      </w:r>
      <w:r>
        <w:rPr>
          <w:lang w:val="fr-FR"/>
        </w:rPr>
        <w:fldChar w:fldCharType="end"/>
      </w:r>
      <w:r>
        <w:rPr>
          <w:lang w:val="fr-FR"/>
        </w:rPr>
        <w:t>.  </w:t>
      </w:r>
      <w:r w:rsidR="002508AF" w:rsidRPr="004A51F8">
        <w:rPr>
          <w:lang w:val="fr-FR"/>
        </w:rPr>
        <w:t>Dans certaines affaires</w:t>
      </w:r>
      <w:r w:rsidR="00D45DF4">
        <w:rPr>
          <w:lang w:val="fr-FR"/>
        </w:rPr>
        <w:t>,</w:t>
      </w:r>
      <w:r w:rsidR="002508AF" w:rsidRPr="004A51F8">
        <w:rPr>
          <w:lang w:val="fr-FR"/>
        </w:rPr>
        <w:t xml:space="preserve"> </w:t>
      </w:r>
      <w:r w:rsidR="0035224A">
        <w:rPr>
          <w:lang w:val="fr-FR"/>
        </w:rPr>
        <w:t xml:space="preserve">la Cour, dans son raisonnement, a fondé </w:t>
      </w:r>
      <w:r w:rsidR="002508AF" w:rsidRPr="004A51F8">
        <w:rPr>
          <w:lang w:val="fr-FR"/>
        </w:rPr>
        <w:t>le constat de « torture » moins sur le caractère intentionnel des mauvais traitements que sur le fait qu</w:t>
      </w:r>
      <w:r w:rsidR="00603708">
        <w:rPr>
          <w:lang w:val="fr-FR"/>
        </w:rPr>
        <w:t>’</w:t>
      </w:r>
      <w:r w:rsidR="002508AF" w:rsidRPr="004A51F8">
        <w:rPr>
          <w:lang w:val="fr-FR"/>
        </w:rPr>
        <w:t>ils avaient « </w:t>
      </w:r>
      <w:r w:rsidR="002508AF" w:rsidRPr="004A51F8">
        <w:rPr>
          <w:spacing w:val="-2"/>
          <w:lang w:val="fr-FR"/>
        </w:rPr>
        <w:t xml:space="preserve">provoqué des douleurs et des souffrances aiguës » et </w:t>
      </w:r>
      <w:r w:rsidR="00D45DF4">
        <w:rPr>
          <w:spacing w:val="-2"/>
          <w:lang w:val="fr-FR"/>
        </w:rPr>
        <w:t>qu</w:t>
      </w:r>
      <w:r w:rsidR="00603708">
        <w:rPr>
          <w:spacing w:val="-2"/>
          <w:lang w:val="fr-FR"/>
        </w:rPr>
        <w:t>’</w:t>
      </w:r>
      <w:r w:rsidR="00D45DF4">
        <w:rPr>
          <w:spacing w:val="-2"/>
          <w:lang w:val="fr-FR"/>
        </w:rPr>
        <w:t xml:space="preserve">ils </w:t>
      </w:r>
      <w:r w:rsidR="002508AF" w:rsidRPr="004A51F8">
        <w:rPr>
          <w:spacing w:val="-2"/>
          <w:lang w:val="fr-FR"/>
        </w:rPr>
        <w:t>revêtaient « un caractère particulièrement grave et cruel » (</w:t>
      </w:r>
      <w:r w:rsidR="002508AF" w:rsidRPr="00AC0DAF">
        <w:rPr>
          <w:spacing w:val="-2"/>
          <w:lang w:val="fr-FR"/>
        </w:rPr>
        <w:t xml:space="preserve">voir, par exemple, </w:t>
      </w:r>
      <w:r w:rsidR="002508AF" w:rsidRPr="00AC0DAF">
        <w:rPr>
          <w:i/>
          <w:lang w:val="fr-FR"/>
        </w:rPr>
        <w:t>Selmouni</w:t>
      </w:r>
      <w:r w:rsidR="002508AF" w:rsidRPr="00AC0DAF">
        <w:rPr>
          <w:lang w:val="fr-FR"/>
        </w:rPr>
        <w:t>, précité, §§ 101-105</w:t>
      </w:r>
      <w:r w:rsidR="00D45DF4">
        <w:rPr>
          <w:lang w:val="fr-FR"/>
        </w:rPr>
        <w:t>, et</w:t>
      </w:r>
      <w:r w:rsidR="002508AF" w:rsidRPr="00AC0DAF">
        <w:rPr>
          <w:lang w:val="fr-FR"/>
        </w:rPr>
        <w:t xml:space="preserve"> </w:t>
      </w:r>
      <w:r w:rsidR="002508AF" w:rsidRPr="00AC0DAF">
        <w:rPr>
          <w:i/>
          <w:lang w:val="fr-FR"/>
        </w:rPr>
        <w:t>Erdal Aslan c. Turquie</w:t>
      </w:r>
      <w:r w:rsidR="002508AF" w:rsidRPr="00AC0DAF">
        <w:rPr>
          <w:lang w:val="fr-FR"/>
        </w:rPr>
        <w:t xml:space="preserve">, </w:t>
      </w:r>
      <w:r w:rsidR="002508AF" w:rsidRPr="00AC0DAF">
        <w:rPr>
          <w:noProof/>
          <w:lang w:val="fr-FR"/>
        </w:rPr>
        <w:t>n</w:t>
      </w:r>
      <w:r w:rsidR="002508AF" w:rsidRPr="00AC0DAF">
        <w:rPr>
          <w:noProof/>
          <w:vertAlign w:val="superscript"/>
          <w:lang w:val="fr-FR"/>
        </w:rPr>
        <w:t>os</w:t>
      </w:r>
      <w:r w:rsidR="002508AF" w:rsidRPr="00AC0DAF">
        <w:rPr>
          <w:lang w:val="fr-FR"/>
        </w:rPr>
        <w:t xml:space="preserve"> </w:t>
      </w:r>
      <w:r w:rsidR="002508AF" w:rsidRPr="00AC0DAF">
        <w:rPr>
          <w:szCs w:val="24"/>
          <w:lang w:val="fr-FR" w:eastAsia="en-GB"/>
        </w:rPr>
        <w:t xml:space="preserve">25060/02 et 1705/03, § 73, </w:t>
      </w:r>
      <w:r w:rsidR="002508AF" w:rsidRPr="00AC0DAF">
        <w:rPr>
          <w:lang w:val="fr-FR"/>
        </w:rPr>
        <w:t>2 décembre 2008</w:t>
      </w:r>
      <w:r w:rsidR="002508AF" w:rsidRPr="004A51F8">
        <w:rPr>
          <w:lang w:val="fr-FR"/>
        </w:rPr>
        <w:t>).</w:t>
      </w:r>
    </w:p>
    <w:p w:rsidR="0032468C" w:rsidRDefault="002A2F4E">
      <w:pPr>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174</w:t>
      </w:r>
      <w:r>
        <w:rPr>
          <w:lang w:val="fr-FR"/>
        </w:rPr>
        <w:fldChar w:fldCharType="end"/>
      </w:r>
      <w:r>
        <w:rPr>
          <w:lang w:val="fr-FR"/>
        </w:rPr>
        <w:t>.  </w:t>
      </w:r>
      <w:r w:rsidR="002508AF" w:rsidRPr="004A51F8">
        <w:rPr>
          <w:lang w:val="fr-FR"/>
        </w:rPr>
        <w:t>D</w:t>
      </w:r>
      <w:r w:rsidR="0035224A">
        <w:rPr>
          <w:lang w:val="fr-FR"/>
        </w:rPr>
        <w:t>ans d</w:t>
      </w:r>
      <w:r w:rsidR="00603708">
        <w:rPr>
          <w:lang w:val="fr-FR"/>
        </w:rPr>
        <w:t>’</w:t>
      </w:r>
      <w:r w:rsidR="002508AF" w:rsidRPr="004A51F8">
        <w:rPr>
          <w:lang w:val="fr-FR"/>
        </w:rPr>
        <w:t xml:space="preserve">autres arrêts, </w:t>
      </w:r>
      <w:r w:rsidR="0035224A">
        <w:rPr>
          <w:lang w:val="fr-FR"/>
        </w:rPr>
        <w:t>elle a</w:t>
      </w:r>
      <w:r w:rsidR="002508AF" w:rsidRPr="004A51F8">
        <w:rPr>
          <w:lang w:val="fr-FR"/>
        </w:rPr>
        <w:t xml:space="preserve"> </w:t>
      </w:r>
      <w:r w:rsidR="00304F9C">
        <w:rPr>
          <w:lang w:val="fr-FR"/>
        </w:rPr>
        <w:t>attribu</w:t>
      </w:r>
      <w:r w:rsidR="0035224A">
        <w:rPr>
          <w:lang w:val="fr-FR"/>
        </w:rPr>
        <w:t>é</w:t>
      </w:r>
      <w:r w:rsidR="002508AF" w:rsidRPr="004A51F8">
        <w:rPr>
          <w:lang w:val="fr-FR"/>
        </w:rPr>
        <w:t xml:space="preserve"> un poids particulier au caractère gratuit des violences commises à l</w:t>
      </w:r>
      <w:r w:rsidR="00603708">
        <w:rPr>
          <w:lang w:val="fr-FR"/>
        </w:rPr>
        <w:t>’</w:t>
      </w:r>
      <w:r w:rsidR="002508AF" w:rsidRPr="004A51F8">
        <w:rPr>
          <w:lang w:val="fr-FR"/>
        </w:rPr>
        <w:t xml:space="preserve">égard du requérant, détenu, pour parvenir </w:t>
      </w:r>
      <w:r w:rsidR="008A742D">
        <w:rPr>
          <w:lang w:val="fr-FR"/>
        </w:rPr>
        <w:t>à un</w:t>
      </w:r>
      <w:r w:rsidR="002508AF" w:rsidRPr="004A51F8">
        <w:rPr>
          <w:lang w:val="fr-FR"/>
        </w:rPr>
        <w:t xml:space="preserve"> constat de « torture ». Par exemple, dans l</w:t>
      </w:r>
      <w:r w:rsidR="00603708">
        <w:rPr>
          <w:lang w:val="fr-FR"/>
        </w:rPr>
        <w:t>’</w:t>
      </w:r>
      <w:r w:rsidR="002508AF" w:rsidRPr="004A51F8">
        <w:rPr>
          <w:lang w:val="fr-FR"/>
        </w:rPr>
        <w:t xml:space="preserve">affaire </w:t>
      </w:r>
      <w:r w:rsidR="002508AF" w:rsidRPr="00AC0DAF">
        <w:rPr>
          <w:i/>
          <w:lang w:val="fr-FR"/>
        </w:rPr>
        <w:t xml:space="preserve">Vladimir Romanov </w:t>
      </w:r>
      <w:r w:rsidR="00C03022" w:rsidRPr="00AC0DAF">
        <w:rPr>
          <w:lang w:val="fr-FR"/>
        </w:rPr>
        <w:t>(</w:t>
      </w:r>
      <w:r w:rsidR="00944BE0" w:rsidRPr="00AC0DAF">
        <w:rPr>
          <w:lang w:val="fr-FR"/>
        </w:rPr>
        <w:t>précitée</w:t>
      </w:r>
      <w:r w:rsidR="002508AF" w:rsidRPr="00AC0DAF">
        <w:rPr>
          <w:lang w:val="fr-FR"/>
        </w:rPr>
        <w:t>, §§ 66-70</w:t>
      </w:r>
      <w:r w:rsidR="00C03022" w:rsidRPr="00304F9C">
        <w:rPr>
          <w:lang w:val="fr-FR"/>
        </w:rPr>
        <w:t>)</w:t>
      </w:r>
      <w:r w:rsidR="002508AF" w:rsidRPr="00304F9C">
        <w:rPr>
          <w:lang w:val="fr-FR"/>
        </w:rPr>
        <w:t>,</w:t>
      </w:r>
      <w:r w:rsidR="002508AF" w:rsidRPr="004A51F8">
        <w:rPr>
          <w:lang w:val="fr-FR"/>
        </w:rPr>
        <w:t xml:space="preserve"> </w:t>
      </w:r>
      <w:r w:rsidR="0035224A">
        <w:rPr>
          <w:lang w:val="fr-FR"/>
        </w:rPr>
        <w:t>elle</w:t>
      </w:r>
      <w:r w:rsidR="002508AF" w:rsidRPr="004A51F8">
        <w:rPr>
          <w:lang w:val="fr-FR"/>
        </w:rPr>
        <w:t xml:space="preserve"> </w:t>
      </w:r>
      <w:r w:rsidR="00C03022">
        <w:rPr>
          <w:lang w:val="fr-FR"/>
        </w:rPr>
        <w:t>a souligné</w:t>
      </w:r>
      <w:r w:rsidR="002508AF" w:rsidRPr="004A51F8">
        <w:rPr>
          <w:lang w:val="fr-FR"/>
        </w:rPr>
        <w:t xml:space="preserve"> que le requérant avait </w:t>
      </w:r>
      <w:r w:rsidR="0035224A">
        <w:rPr>
          <w:lang w:val="fr-FR"/>
        </w:rPr>
        <w:t>été frappé à</w:t>
      </w:r>
      <w:r w:rsidR="002508AF" w:rsidRPr="004A51F8">
        <w:rPr>
          <w:lang w:val="fr-FR"/>
        </w:rPr>
        <w:t xml:space="preserve"> coups de matraque après qu</w:t>
      </w:r>
      <w:r w:rsidR="00603708">
        <w:rPr>
          <w:lang w:val="fr-FR"/>
        </w:rPr>
        <w:t>’</w:t>
      </w:r>
      <w:r w:rsidR="002508AF" w:rsidRPr="004A51F8">
        <w:rPr>
          <w:lang w:val="fr-FR"/>
        </w:rPr>
        <w:t xml:space="preserve">il </w:t>
      </w:r>
      <w:r w:rsidR="00904D38">
        <w:rPr>
          <w:lang w:val="fr-FR"/>
        </w:rPr>
        <w:t>eut obtempéré à</w:t>
      </w:r>
      <w:r w:rsidR="002508AF" w:rsidRPr="004A51F8">
        <w:rPr>
          <w:lang w:val="fr-FR"/>
        </w:rPr>
        <w:t xml:space="preserve"> l</w:t>
      </w:r>
      <w:r w:rsidR="00603708">
        <w:rPr>
          <w:lang w:val="fr-FR"/>
        </w:rPr>
        <w:t>’</w:t>
      </w:r>
      <w:r w:rsidR="002508AF" w:rsidRPr="004A51F8">
        <w:rPr>
          <w:lang w:val="fr-FR"/>
        </w:rPr>
        <w:t xml:space="preserve">ordre de </w:t>
      </w:r>
      <w:r w:rsidR="00904D38">
        <w:rPr>
          <w:lang w:val="fr-FR"/>
        </w:rPr>
        <w:t>quitter</w:t>
      </w:r>
      <w:r w:rsidR="00904D38" w:rsidRPr="004A51F8">
        <w:rPr>
          <w:lang w:val="fr-FR"/>
        </w:rPr>
        <w:t xml:space="preserve"> </w:t>
      </w:r>
      <w:r w:rsidR="002508AF" w:rsidRPr="004A51F8">
        <w:rPr>
          <w:lang w:val="fr-FR"/>
        </w:rPr>
        <w:t xml:space="preserve">sa cellule et </w:t>
      </w:r>
      <w:r w:rsidR="00904D38">
        <w:rPr>
          <w:lang w:val="fr-FR"/>
        </w:rPr>
        <w:t xml:space="preserve">alors </w:t>
      </w:r>
      <w:r w:rsidR="002508AF" w:rsidRPr="004A51F8">
        <w:rPr>
          <w:lang w:val="fr-FR"/>
        </w:rPr>
        <w:t>même qu</w:t>
      </w:r>
      <w:r w:rsidR="00603708">
        <w:rPr>
          <w:lang w:val="fr-FR"/>
        </w:rPr>
        <w:t>’</w:t>
      </w:r>
      <w:r w:rsidR="002508AF" w:rsidRPr="004A51F8">
        <w:rPr>
          <w:lang w:val="fr-FR"/>
        </w:rPr>
        <w:t xml:space="preserve">il était tombé </w:t>
      </w:r>
      <w:r w:rsidR="00D04D56">
        <w:rPr>
          <w:lang w:val="fr-FR"/>
        </w:rPr>
        <w:t>à</w:t>
      </w:r>
      <w:r w:rsidR="002508AF" w:rsidRPr="004A51F8">
        <w:rPr>
          <w:lang w:val="fr-FR"/>
        </w:rPr>
        <w:t xml:space="preserve"> terre : les violences en question avaient donc valeur de « représailles ». De même, dans l</w:t>
      </w:r>
      <w:r w:rsidR="00603708">
        <w:rPr>
          <w:lang w:val="fr-FR"/>
        </w:rPr>
        <w:t>’</w:t>
      </w:r>
      <w:r w:rsidR="002508AF" w:rsidRPr="004A51F8">
        <w:rPr>
          <w:lang w:val="fr-FR"/>
        </w:rPr>
        <w:t xml:space="preserve">affaire </w:t>
      </w:r>
      <w:r w:rsidR="002508AF" w:rsidRPr="00AC0DAF">
        <w:rPr>
          <w:i/>
          <w:lang w:val="fr-FR"/>
        </w:rPr>
        <w:t>Dedovsk</w:t>
      </w:r>
      <w:r w:rsidR="00904D38">
        <w:rPr>
          <w:i/>
          <w:lang w:val="fr-FR"/>
        </w:rPr>
        <w:t>i</w:t>
      </w:r>
      <w:r w:rsidR="002508AF" w:rsidRPr="00AC0DAF">
        <w:rPr>
          <w:i/>
          <w:lang w:val="fr-FR"/>
        </w:rPr>
        <w:t xml:space="preserve"> et autres</w:t>
      </w:r>
      <w:r w:rsidR="002508AF" w:rsidRPr="00AC0DAF">
        <w:rPr>
          <w:lang w:val="fr-FR"/>
        </w:rPr>
        <w:t xml:space="preserve"> </w:t>
      </w:r>
      <w:r w:rsidR="00904D38">
        <w:rPr>
          <w:lang w:val="fr-FR"/>
        </w:rPr>
        <w:t>(</w:t>
      </w:r>
      <w:r w:rsidR="002508AF" w:rsidRPr="00AC0DAF">
        <w:rPr>
          <w:lang w:val="fr-FR"/>
        </w:rPr>
        <w:t>précité</w:t>
      </w:r>
      <w:r w:rsidR="00904D38">
        <w:rPr>
          <w:lang w:val="fr-FR"/>
        </w:rPr>
        <w:t>e)</w:t>
      </w:r>
      <w:r w:rsidR="002508AF" w:rsidRPr="004A51F8">
        <w:rPr>
          <w:lang w:val="fr-FR"/>
        </w:rPr>
        <w:t xml:space="preserve">, </w:t>
      </w:r>
      <w:r w:rsidR="00904D38">
        <w:rPr>
          <w:lang w:val="fr-FR"/>
        </w:rPr>
        <w:t xml:space="preserve">la Cour a </w:t>
      </w:r>
      <w:r w:rsidR="001C657A">
        <w:rPr>
          <w:lang w:val="fr-FR"/>
        </w:rPr>
        <w:t>pris en compte</w:t>
      </w:r>
      <w:r w:rsidR="002508AF" w:rsidRPr="004A51F8">
        <w:rPr>
          <w:lang w:val="fr-FR"/>
        </w:rPr>
        <w:t xml:space="preserve"> le potentiel de violence exist</w:t>
      </w:r>
      <w:r w:rsidR="001C657A">
        <w:rPr>
          <w:lang w:val="fr-FR"/>
        </w:rPr>
        <w:t>ant</w:t>
      </w:r>
      <w:r w:rsidR="002508AF" w:rsidRPr="004A51F8">
        <w:rPr>
          <w:lang w:val="fr-FR"/>
        </w:rPr>
        <w:t xml:space="preserve"> dans un établissement pénitentiaire et le fait qu</w:t>
      </w:r>
      <w:r w:rsidR="00603708">
        <w:rPr>
          <w:lang w:val="fr-FR"/>
        </w:rPr>
        <w:t>’</w:t>
      </w:r>
      <w:r w:rsidR="002508AF" w:rsidRPr="004A51F8">
        <w:rPr>
          <w:lang w:val="fr-FR"/>
        </w:rPr>
        <w:t>une désobéissance des détenus p</w:t>
      </w:r>
      <w:r w:rsidR="001C657A">
        <w:rPr>
          <w:lang w:val="fr-FR"/>
        </w:rPr>
        <w:t>ouvait</w:t>
      </w:r>
      <w:r w:rsidR="002508AF" w:rsidRPr="004A51F8">
        <w:rPr>
          <w:lang w:val="fr-FR"/>
        </w:rPr>
        <w:t xml:space="preserve"> dégénérer rapidement en une mutinerie nécessitant ainsi l</w:t>
      </w:r>
      <w:r w:rsidR="00603708">
        <w:rPr>
          <w:lang w:val="fr-FR"/>
        </w:rPr>
        <w:t>’</w:t>
      </w:r>
      <w:r w:rsidR="002508AF" w:rsidRPr="004A51F8">
        <w:rPr>
          <w:lang w:val="fr-FR"/>
        </w:rPr>
        <w:t>intervention des forces de l</w:t>
      </w:r>
      <w:r w:rsidR="00603708">
        <w:rPr>
          <w:lang w:val="fr-FR"/>
        </w:rPr>
        <w:t>’</w:t>
      </w:r>
      <w:r w:rsidR="002508AF" w:rsidRPr="004A51F8">
        <w:rPr>
          <w:lang w:val="fr-FR"/>
        </w:rPr>
        <w:t>ordre (</w:t>
      </w:r>
      <w:r w:rsidR="00D04D56" w:rsidRPr="00AC0DAF">
        <w:rPr>
          <w:i/>
          <w:lang w:val="fr-FR"/>
        </w:rPr>
        <w:t>Dedovsk</w:t>
      </w:r>
      <w:r w:rsidR="00D04D56">
        <w:rPr>
          <w:i/>
          <w:lang w:val="fr-FR"/>
        </w:rPr>
        <w:t>i</w:t>
      </w:r>
      <w:r w:rsidR="00D04D56" w:rsidRPr="00AC0DAF">
        <w:rPr>
          <w:i/>
          <w:lang w:val="fr-FR"/>
        </w:rPr>
        <w:t xml:space="preserve"> et autres</w:t>
      </w:r>
      <w:r w:rsidR="00D04D56">
        <w:rPr>
          <w:lang w:val="fr-FR"/>
        </w:rPr>
        <w:t xml:space="preserve">, </w:t>
      </w:r>
      <w:r w:rsidR="002508AF" w:rsidRPr="004A51F8">
        <w:rPr>
          <w:lang w:val="fr-FR"/>
        </w:rPr>
        <w:t xml:space="preserve">§ 81), la Cour </w:t>
      </w:r>
      <w:r w:rsidR="00982902">
        <w:rPr>
          <w:lang w:val="fr-FR"/>
        </w:rPr>
        <w:t>n</w:t>
      </w:r>
      <w:r w:rsidR="00603708">
        <w:rPr>
          <w:lang w:val="fr-FR"/>
        </w:rPr>
        <w:t>’</w:t>
      </w:r>
      <w:r w:rsidR="00982902">
        <w:rPr>
          <w:lang w:val="fr-FR"/>
        </w:rPr>
        <w:t>a discerné</w:t>
      </w:r>
      <w:r w:rsidR="002508AF" w:rsidRPr="004A51F8">
        <w:rPr>
          <w:lang w:val="fr-FR"/>
        </w:rPr>
        <w:t xml:space="preserve"> </w:t>
      </w:r>
      <w:r w:rsidR="00982902">
        <w:rPr>
          <w:lang w:val="fr-FR"/>
        </w:rPr>
        <w:t>« </w:t>
      </w:r>
      <w:r w:rsidR="002508AF" w:rsidRPr="004A51F8">
        <w:rPr>
          <w:lang w:val="fr-FR"/>
        </w:rPr>
        <w:t xml:space="preserve">aucune nécessité qui </w:t>
      </w:r>
      <w:r w:rsidR="00904D38">
        <w:rPr>
          <w:lang w:val="fr-FR"/>
        </w:rPr>
        <w:t>[eût]</w:t>
      </w:r>
      <w:r w:rsidR="00904D38" w:rsidRPr="004A51F8">
        <w:rPr>
          <w:lang w:val="fr-FR"/>
        </w:rPr>
        <w:t xml:space="preserve"> </w:t>
      </w:r>
      <w:r w:rsidR="002508AF" w:rsidRPr="004A51F8">
        <w:rPr>
          <w:lang w:val="fr-FR"/>
        </w:rPr>
        <w:t>justifié l</w:t>
      </w:r>
      <w:r w:rsidR="00603708">
        <w:rPr>
          <w:lang w:val="fr-FR"/>
        </w:rPr>
        <w:t>’</w:t>
      </w:r>
      <w:r w:rsidR="002508AF" w:rsidRPr="004A51F8">
        <w:rPr>
          <w:lang w:val="fr-FR"/>
        </w:rPr>
        <w:t xml:space="preserve">usage de matraques en caoutchouc contre les requérants. Au contraire, les actions des agents </w:t>
      </w:r>
      <w:r w:rsidR="00904D38">
        <w:rPr>
          <w:lang w:val="fr-FR"/>
        </w:rPr>
        <w:t>(</w:t>
      </w:r>
      <w:r w:rsidR="0032468C">
        <w:rPr>
          <w:lang w:val="fr-FR"/>
        </w:rPr>
        <w:t>...</w:t>
      </w:r>
      <w:r w:rsidR="00904D38">
        <w:rPr>
          <w:lang w:val="fr-FR"/>
        </w:rPr>
        <w:t>)</w:t>
      </w:r>
      <w:r w:rsidR="002508AF" w:rsidRPr="004A51F8">
        <w:rPr>
          <w:lang w:val="fr-FR"/>
        </w:rPr>
        <w:t xml:space="preserve"> étaient manifestement disproportionnées aux transgressions imputées aux requérants », qui dans le cadre d</w:t>
      </w:r>
      <w:r w:rsidR="00603708">
        <w:rPr>
          <w:lang w:val="fr-FR"/>
        </w:rPr>
        <w:t>’</w:t>
      </w:r>
      <w:r w:rsidR="002508AF" w:rsidRPr="004A51F8">
        <w:rPr>
          <w:lang w:val="fr-FR"/>
        </w:rPr>
        <w:t>une fouille avaient refusé de quitter la cellule ou d</w:t>
      </w:r>
      <w:r w:rsidR="00603708">
        <w:rPr>
          <w:lang w:val="fr-FR"/>
        </w:rPr>
        <w:t>’</w:t>
      </w:r>
      <w:r w:rsidR="002508AF" w:rsidRPr="004A51F8">
        <w:rPr>
          <w:lang w:val="fr-FR"/>
        </w:rPr>
        <w:t xml:space="preserve">écarter les bras et les jambes, et </w:t>
      </w:r>
      <w:r w:rsidR="00904D38">
        <w:rPr>
          <w:lang w:val="fr-FR"/>
        </w:rPr>
        <w:t xml:space="preserve">elles </w:t>
      </w:r>
      <w:r w:rsidR="001C657A">
        <w:rPr>
          <w:lang w:val="fr-FR"/>
        </w:rPr>
        <w:t>les a</w:t>
      </w:r>
      <w:r w:rsidR="002508AF" w:rsidRPr="004A51F8">
        <w:rPr>
          <w:lang w:val="fr-FR"/>
        </w:rPr>
        <w:t>, de surcro</w:t>
      </w:r>
      <w:r w:rsidR="00904D38">
        <w:rPr>
          <w:lang w:val="fr-FR"/>
        </w:rPr>
        <w:t>î</w:t>
      </w:r>
      <w:r w:rsidR="002508AF" w:rsidRPr="004A51F8">
        <w:rPr>
          <w:lang w:val="fr-FR"/>
        </w:rPr>
        <w:t xml:space="preserve">t, </w:t>
      </w:r>
      <w:r w:rsidR="001C657A">
        <w:rPr>
          <w:lang w:val="fr-FR"/>
        </w:rPr>
        <w:t xml:space="preserve">jugées </w:t>
      </w:r>
      <w:r w:rsidR="002508AF" w:rsidRPr="004A51F8">
        <w:rPr>
          <w:lang w:val="fr-FR"/>
        </w:rPr>
        <w:t>« inutiles à la réalisation des objectifs des agents », car « ce n</w:t>
      </w:r>
      <w:r w:rsidR="00603708">
        <w:rPr>
          <w:lang w:val="fr-FR"/>
        </w:rPr>
        <w:t>’</w:t>
      </w:r>
      <w:r w:rsidR="002508AF" w:rsidRPr="004A51F8">
        <w:rPr>
          <w:lang w:val="fr-FR"/>
        </w:rPr>
        <w:t>était pas en frappant un détenu avec une matraque que les agents [seraient parvenus] au résultat désiré, à savoir faciliter la fouille » (</w:t>
      </w:r>
      <w:r w:rsidR="001F2D04" w:rsidRPr="000B5793">
        <w:rPr>
          <w:i/>
          <w:lang w:val="fr-FR"/>
        </w:rPr>
        <w:t>idem</w:t>
      </w:r>
      <w:r w:rsidR="001F2D04">
        <w:rPr>
          <w:lang w:val="fr-FR"/>
        </w:rPr>
        <w:t xml:space="preserve">, </w:t>
      </w:r>
      <w:r w:rsidR="002508AF" w:rsidRPr="004A51F8">
        <w:rPr>
          <w:lang w:val="fr-FR"/>
        </w:rPr>
        <w:t>§ 83).</w:t>
      </w:r>
      <w:r w:rsidR="001F2D04">
        <w:rPr>
          <w:lang w:val="fr-FR"/>
        </w:rPr>
        <w:t xml:space="preserve"> L</w:t>
      </w:r>
      <w:r w:rsidR="00AA35F9">
        <w:rPr>
          <w:lang w:val="fr-FR"/>
        </w:rPr>
        <w:t>a</w:t>
      </w:r>
      <w:r w:rsidR="00123069">
        <w:rPr>
          <w:lang w:val="fr-FR"/>
        </w:rPr>
        <w:t> </w:t>
      </w:r>
      <w:r w:rsidR="00AA35F9">
        <w:rPr>
          <w:lang w:val="fr-FR"/>
        </w:rPr>
        <w:t>Cour a considéré que l</w:t>
      </w:r>
      <w:r w:rsidR="002508AF" w:rsidRPr="004A51F8">
        <w:rPr>
          <w:lang w:val="fr-FR"/>
        </w:rPr>
        <w:t xml:space="preserve">es mauvais traitements avaient </w:t>
      </w:r>
      <w:r w:rsidR="001F2D04">
        <w:rPr>
          <w:lang w:val="fr-FR"/>
        </w:rPr>
        <w:t xml:space="preserve">ainsi </w:t>
      </w:r>
      <w:r w:rsidR="002508AF" w:rsidRPr="004A51F8">
        <w:rPr>
          <w:lang w:val="fr-FR"/>
        </w:rPr>
        <w:t>clairement</w:t>
      </w:r>
      <w:r w:rsidR="001F2D04">
        <w:rPr>
          <w:lang w:val="fr-FR"/>
        </w:rPr>
        <w:t xml:space="preserve"> le </w:t>
      </w:r>
      <w:r w:rsidR="002508AF" w:rsidRPr="004A51F8">
        <w:rPr>
          <w:lang w:val="fr-FR"/>
        </w:rPr>
        <w:t xml:space="preserve">caractère de </w:t>
      </w:r>
      <w:r w:rsidR="00C03022">
        <w:rPr>
          <w:lang w:val="fr-FR"/>
        </w:rPr>
        <w:t>« </w:t>
      </w:r>
      <w:r w:rsidR="002508AF" w:rsidRPr="004A51F8">
        <w:rPr>
          <w:lang w:val="fr-FR"/>
        </w:rPr>
        <w:t>représailles</w:t>
      </w:r>
      <w:r w:rsidR="00C03022">
        <w:rPr>
          <w:lang w:val="fr-FR"/>
        </w:rPr>
        <w:t> »</w:t>
      </w:r>
      <w:r w:rsidR="002508AF" w:rsidRPr="004A51F8">
        <w:rPr>
          <w:lang w:val="fr-FR"/>
        </w:rPr>
        <w:t xml:space="preserve"> ou de </w:t>
      </w:r>
      <w:r w:rsidR="00C03022">
        <w:rPr>
          <w:lang w:val="fr-FR"/>
        </w:rPr>
        <w:t>« </w:t>
      </w:r>
      <w:r w:rsidR="002508AF" w:rsidRPr="004A51F8">
        <w:rPr>
          <w:lang w:val="fr-FR"/>
        </w:rPr>
        <w:t>châtiment corporel</w:t>
      </w:r>
      <w:r w:rsidR="00C03022">
        <w:rPr>
          <w:lang w:val="fr-FR"/>
        </w:rPr>
        <w:t> »</w:t>
      </w:r>
      <w:r w:rsidR="002508AF" w:rsidRPr="004A51F8">
        <w:rPr>
          <w:lang w:val="fr-FR"/>
        </w:rPr>
        <w:t xml:space="preserve"> (</w:t>
      </w:r>
      <w:r w:rsidR="001F2D04" w:rsidRPr="002F66DA">
        <w:rPr>
          <w:i/>
          <w:lang w:val="fr-FR"/>
        </w:rPr>
        <w:t>idem</w:t>
      </w:r>
      <w:r w:rsidR="001F2D04">
        <w:rPr>
          <w:lang w:val="fr-FR"/>
        </w:rPr>
        <w:t xml:space="preserve">, </w:t>
      </w:r>
      <w:r w:rsidR="002508AF" w:rsidRPr="004A51F8">
        <w:rPr>
          <w:lang w:val="fr-FR"/>
        </w:rPr>
        <w:t>§§ 83 et 85)</w:t>
      </w:r>
      <w:r w:rsidR="00AA35F9">
        <w:rPr>
          <w:lang w:val="fr-FR"/>
        </w:rPr>
        <w:t xml:space="preserve"> et</w:t>
      </w:r>
      <w:r w:rsidR="002508AF" w:rsidRPr="004A51F8">
        <w:rPr>
          <w:lang w:val="fr-FR"/>
        </w:rPr>
        <w:t xml:space="preserve"> que, dans </w:t>
      </w:r>
      <w:r w:rsidR="00AA35F9">
        <w:rPr>
          <w:lang w:val="fr-FR"/>
        </w:rPr>
        <w:t>l</w:t>
      </w:r>
      <w:r w:rsidR="002508AF" w:rsidRPr="004A51F8">
        <w:rPr>
          <w:lang w:val="fr-FR"/>
        </w:rPr>
        <w:t>e contexte, l</w:t>
      </w:r>
      <w:r w:rsidR="00603708">
        <w:rPr>
          <w:lang w:val="fr-FR"/>
        </w:rPr>
        <w:t>’</w:t>
      </w:r>
      <w:r w:rsidR="002508AF" w:rsidRPr="004A51F8">
        <w:rPr>
          <w:lang w:val="fr-FR"/>
        </w:rPr>
        <w:t>utilisation de la force était dépourvue de base légale (</w:t>
      </w:r>
      <w:r w:rsidR="001F2D04" w:rsidRPr="002F66DA">
        <w:rPr>
          <w:i/>
          <w:lang w:val="fr-FR"/>
        </w:rPr>
        <w:t>idem</w:t>
      </w:r>
      <w:r w:rsidR="001F2D04">
        <w:rPr>
          <w:lang w:val="fr-FR"/>
        </w:rPr>
        <w:t xml:space="preserve">, </w:t>
      </w:r>
      <w:r w:rsidR="002508AF" w:rsidRPr="004A51F8">
        <w:rPr>
          <w:lang w:val="fr-FR"/>
        </w:rPr>
        <w:t>§ 82).</w:t>
      </w:r>
    </w:p>
    <w:p w:rsidR="0032468C" w:rsidRDefault="002A2F4E" w:rsidP="002508AF">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175</w:t>
      </w:r>
      <w:r>
        <w:rPr>
          <w:lang w:val="fr-FR"/>
        </w:rPr>
        <w:fldChar w:fldCharType="end"/>
      </w:r>
      <w:r>
        <w:rPr>
          <w:lang w:val="fr-FR"/>
        </w:rPr>
        <w:t>.  </w:t>
      </w:r>
      <w:r w:rsidR="00C03022">
        <w:rPr>
          <w:lang w:val="fr-FR"/>
        </w:rPr>
        <w:t xml:space="preserve">Dans certaines affaires concernant des violences commises par des agents de police </w:t>
      </w:r>
      <w:r w:rsidR="00D04D56">
        <w:rPr>
          <w:lang w:val="fr-FR"/>
        </w:rPr>
        <w:t>lors d</w:t>
      </w:r>
      <w:r w:rsidR="00603708">
        <w:rPr>
          <w:lang w:val="fr-FR"/>
        </w:rPr>
        <w:t>’</w:t>
      </w:r>
      <w:r w:rsidR="00C03022">
        <w:rPr>
          <w:lang w:val="fr-FR"/>
        </w:rPr>
        <w:t>arrestation</w:t>
      </w:r>
      <w:r w:rsidR="006C4EA4">
        <w:rPr>
          <w:lang w:val="fr-FR"/>
        </w:rPr>
        <w:t>s</w:t>
      </w:r>
      <w:r w:rsidR="00C03022">
        <w:rPr>
          <w:lang w:val="fr-FR"/>
        </w:rPr>
        <w:t>, l</w:t>
      </w:r>
      <w:r w:rsidR="002508AF" w:rsidRPr="004A51F8">
        <w:rPr>
          <w:lang w:val="fr-FR"/>
        </w:rPr>
        <w:t>a Cour</w:t>
      </w:r>
      <w:r w:rsidR="00C03022">
        <w:rPr>
          <w:lang w:val="fr-FR"/>
        </w:rPr>
        <w:t xml:space="preserve"> s</w:t>
      </w:r>
      <w:r w:rsidR="00603708">
        <w:rPr>
          <w:lang w:val="fr-FR"/>
        </w:rPr>
        <w:t>’</w:t>
      </w:r>
      <w:r w:rsidR="00C03022">
        <w:rPr>
          <w:lang w:val="fr-FR"/>
        </w:rPr>
        <w:t>est penchée également</w:t>
      </w:r>
      <w:r w:rsidR="00C10573">
        <w:rPr>
          <w:lang w:val="fr-FR"/>
        </w:rPr>
        <w:t xml:space="preserve"> sur</w:t>
      </w:r>
      <w:r w:rsidR="002508AF" w:rsidRPr="004A51F8">
        <w:rPr>
          <w:lang w:val="fr-FR"/>
        </w:rPr>
        <w:t xml:space="preserve"> </w:t>
      </w:r>
      <w:r w:rsidR="00C10573">
        <w:rPr>
          <w:lang w:val="fr-FR"/>
        </w:rPr>
        <w:t xml:space="preserve">la question de </w:t>
      </w:r>
      <w:r w:rsidR="00C03022">
        <w:rPr>
          <w:lang w:val="fr-FR"/>
        </w:rPr>
        <w:t>savoir si l</w:t>
      </w:r>
      <w:r w:rsidR="00C10573">
        <w:rPr>
          <w:lang w:val="fr-FR"/>
        </w:rPr>
        <w:t>es mauvais traitements litigieux</w:t>
      </w:r>
      <w:r w:rsidR="00C03022" w:rsidRPr="00C03022">
        <w:rPr>
          <w:lang w:val="fr-FR"/>
        </w:rPr>
        <w:t xml:space="preserve"> </w:t>
      </w:r>
      <w:r w:rsidR="00C03022">
        <w:rPr>
          <w:lang w:val="fr-FR"/>
        </w:rPr>
        <w:t>étaient constitutifs de « torture » au sens de l</w:t>
      </w:r>
      <w:r w:rsidR="00603708">
        <w:rPr>
          <w:lang w:val="fr-FR"/>
        </w:rPr>
        <w:t>’</w:t>
      </w:r>
      <w:r w:rsidR="00C03022">
        <w:rPr>
          <w:lang w:val="fr-FR"/>
        </w:rPr>
        <w:t>article 3 de la Convention. Toutefois, elle</w:t>
      </w:r>
      <w:r w:rsidR="00C10573">
        <w:rPr>
          <w:lang w:val="fr-FR"/>
        </w:rPr>
        <w:t xml:space="preserve"> </w:t>
      </w:r>
      <w:r w:rsidR="002508AF" w:rsidRPr="004A51F8">
        <w:rPr>
          <w:lang w:val="fr-FR"/>
        </w:rPr>
        <w:t>n</w:t>
      </w:r>
      <w:r w:rsidR="00603708">
        <w:rPr>
          <w:lang w:val="fr-FR"/>
        </w:rPr>
        <w:t>’</w:t>
      </w:r>
      <w:r w:rsidR="002508AF" w:rsidRPr="004A51F8">
        <w:rPr>
          <w:lang w:val="fr-FR"/>
        </w:rPr>
        <w:t>a pas conclu</w:t>
      </w:r>
      <w:r w:rsidR="00C03022">
        <w:rPr>
          <w:lang w:val="fr-FR"/>
        </w:rPr>
        <w:t xml:space="preserve"> dans ce sens</w:t>
      </w:r>
      <w:r w:rsidR="006C4EA4">
        <w:rPr>
          <w:lang w:val="fr-FR"/>
        </w:rPr>
        <w:t xml:space="preserve">, </w:t>
      </w:r>
      <w:r w:rsidR="001C7E8C">
        <w:rPr>
          <w:lang w:val="fr-FR"/>
        </w:rPr>
        <w:t>eu égard au fait que le</w:t>
      </w:r>
      <w:r w:rsidR="002508AF" w:rsidRPr="004A51F8">
        <w:rPr>
          <w:lang w:val="fr-FR"/>
        </w:rPr>
        <w:t xml:space="preserve"> but des policiers </w:t>
      </w:r>
      <w:r w:rsidR="006C4EA4">
        <w:rPr>
          <w:lang w:val="fr-FR"/>
        </w:rPr>
        <w:t>n</w:t>
      </w:r>
      <w:r w:rsidR="00603708">
        <w:rPr>
          <w:lang w:val="fr-FR"/>
        </w:rPr>
        <w:t>’</w:t>
      </w:r>
      <w:r w:rsidR="001C7E8C">
        <w:rPr>
          <w:lang w:val="fr-FR"/>
        </w:rPr>
        <w:t>avait pas été</w:t>
      </w:r>
      <w:r w:rsidR="006C4EA4">
        <w:rPr>
          <w:lang w:val="fr-FR"/>
        </w:rPr>
        <w:t xml:space="preserve"> </w:t>
      </w:r>
      <w:r w:rsidR="002508AF" w:rsidRPr="004A51F8">
        <w:rPr>
          <w:lang w:val="fr-FR"/>
        </w:rPr>
        <w:t>d</w:t>
      </w:r>
      <w:r w:rsidR="00603708">
        <w:rPr>
          <w:lang w:val="fr-FR"/>
        </w:rPr>
        <w:t>’</w:t>
      </w:r>
      <w:r w:rsidR="002508AF" w:rsidRPr="004A51F8">
        <w:rPr>
          <w:lang w:val="fr-FR"/>
        </w:rPr>
        <w:t xml:space="preserve">arracher des aveux au requérant et </w:t>
      </w:r>
      <w:r w:rsidR="001C7E8C">
        <w:rPr>
          <w:lang w:val="fr-FR"/>
        </w:rPr>
        <w:t>eu égard à la courte durée d</w:t>
      </w:r>
      <w:r w:rsidR="00D04D56">
        <w:rPr>
          <w:lang w:val="fr-FR"/>
        </w:rPr>
        <w:t xml:space="preserve">es violences </w:t>
      </w:r>
      <w:r w:rsidR="002508AF" w:rsidRPr="004A51F8">
        <w:rPr>
          <w:lang w:val="fr-FR"/>
        </w:rPr>
        <w:t>commises dans un contexte particulièrement tendu (</w:t>
      </w:r>
      <w:r w:rsidR="002508AF" w:rsidRPr="00AC0DAF">
        <w:rPr>
          <w:i/>
          <w:lang w:val="fr-FR"/>
        </w:rPr>
        <w:t>Krastanov</w:t>
      </w:r>
      <w:r w:rsidR="00AE0324">
        <w:rPr>
          <w:i/>
          <w:lang w:val="fr-FR"/>
        </w:rPr>
        <w:t> </w:t>
      </w:r>
      <w:r w:rsidR="002508AF" w:rsidRPr="00AC0DAF">
        <w:rPr>
          <w:i/>
          <w:lang w:val="fr-FR"/>
        </w:rPr>
        <w:t>c</w:t>
      </w:r>
      <w:r w:rsidR="00D04D56" w:rsidRPr="00AC0DAF">
        <w:rPr>
          <w:i/>
          <w:lang w:val="fr-FR"/>
        </w:rPr>
        <w:t>.</w:t>
      </w:r>
      <w:r w:rsidR="00AE0324">
        <w:rPr>
          <w:i/>
          <w:lang w:val="fr-FR"/>
        </w:rPr>
        <w:t> </w:t>
      </w:r>
      <w:r w:rsidR="002508AF" w:rsidRPr="00AC0DAF">
        <w:rPr>
          <w:i/>
          <w:lang w:val="fr-FR"/>
        </w:rPr>
        <w:t>Bulgarie</w:t>
      </w:r>
      <w:r w:rsidR="002508AF" w:rsidRPr="00AC0DAF">
        <w:rPr>
          <w:lang w:val="fr-FR"/>
        </w:rPr>
        <w:t xml:space="preserve">, </w:t>
      </w:r>
      <w:r w:rsidR="000504DB" w:rsidRPr="00AC0DAF">
        <w:rPr>
          <w:lang w:val="fr-FR"/>
        </w:rPr>
        <w:t>n</w:t>
      </w:r>
      <w:r w:rsidR="000504DB" w:rsidRPr="00AC0DAF">
        <w:rPr>
          <w:vertAlign w:val="superscript"/>
          <w:lang w:val="fr-FR"/>
        </w:rPr>
        <w:t>o</w:t>
      </w:r>
      <w:r w:rsidR="000504DB">
        <w:rPr>
          <w:lang w:val="fr-FR"/>
        </w:rPr>
        <w:t> </w:t>
      </w:r>
      <w:r w:rsidR="002508AF" w:rsidRPr="00AC0DAF">
        <w:rPr>
          <w:lang w:val="fr-FR"/>
        </w:rPr>
        <w:t>50222/99, § 53, 30 septembre 2004 : coups</w:t>
      </w:r>
      <w:r w:rsidR="00AE0324">
        <w:rPr>
          <w:lang w:val="fr-FR"/>
        </w:rPr>
        <w:t> </w:t>
      </w:r>
      <w:r w:rsidR="002508AF" w:rsidRPr="00AC0DAF">
        <w:rPr>
          <w:lang w:val="fr-FR"/>
        </w:rPr>
        <w:t>donnés au requérant en raison d</w:t>
      </w:r>
      <w:r w:rsidR="00603708">
        <w:rPr>
          <w:lang w:val="fr-FR"/>
        </w:rPr>
        <w:t>’</w:t>
      </w:r>
      <w:r w:rsidR="002508AF" w:rsidRPr="00AC0DAF">
        <w:rPr>
          <w:lang w:val="fr-FR"/>
        </w:rPr>
        <w:t xml:space="preserve">une erreur </w:t>
      </w:r>
      <w:r w:rsidR="008D7804">
        <w:rPr>
          <w:lang w:val="fr-FR"/>
        </w:rPr>
        <w:t>sur la</w:t>
      </w:r>
      <w:r w:rsidR="002508AF" w:rsidRPr="00AC0DAF">
        <w:rPr>
          <w:lang w:val="fr-FR"/>
        </w:rPr>
        <w:t xml:space="preserve"> personne</w:t>
      </w:r>
      <w:r w:rsidR="008D7804">
        <w:rPr>
          <w:lang w:val="fr-FR"/>
        </w:rPr>
        <w:t xml:space="preserve"> commise</w:t>
      </w:r>
      <w:r w:rsidR="002508AF" w:rsidRPr="00AC0DAF">
        <w:rPr>
          <w:lang w:val="fr-FR"/>
        </w:rPr>
        <w:t xml:space="preserve"> lors d</w:t>
      </w:r>
      <w:r w:rsidR="00603708">
        <w:rPr>
          <w:lang w:val="fr-FR"/>
        </w:rPr>
        <w:t>’</w:t>
      </w:r>
      <w:r w:rsidR="002508AF" w:rsidRPr="00AC0DAF">
        <w:rPr>
          <w:lang w:val="fr-FR"/>
        </w:rPr>
        <w:t xml:space="preserve">une opération de police visant </w:t>
      </w:r>
      <w:r w:rsidR="008D7804">
        <w:rPr>
          <w:lang w:val="fr-FR"/>
        </w:rPr>
        <w:t xml:space="preserve">à </w:t>
      </w:r>
      <w:r w:rsidR="002508AF" w:rsidRPr="00AC0DAF">
        <w:rPr>
          <w:lang w:val="fr-FR"/>
        </w:rPr>
        <w:t>l</w:t>
      </w:r>
      <w:r w:rsidR="00603708">
        <w:rPr>
          <w:lang w:val="fr-FR"/>
        </w:rPr>
        <w:t>’</w:t>
      </w:r>
      <w:r w:rsidR="002508AF" w:rsidRPr="00AC0DAF">
        <w:rPr>
          <w:lang w:val="fr-FR"/>
        </w:rPr>
        <w:t>arrestation d</w:t>
      </w:r>
      <w:r w:rsidR="00603708">
        <w:rPr>
          <w:lang w:val="fr-FR"/>
        </w:rPr>
        <w:t>’</w:t>
      </w:r>
      <w:r w:rsidR="002508AF" w:rsidRPr="00AC0DAF">
        <w:rPr>
          <w:lang w:val="fr-FR"/>
        </w:rPr>
        <w:t>un délinquant dangereux</w:t>
      </w:r>
      <w:r w:rsidR="002508AF" w:rsidRPr="004A51F8">
        <w:rPr>
          <w:lang w:val="fr-FR"/>
        </w:rPr>
        <w:t xml:space="preserve">), ainsi que </w:t>
      </w:r>
      <w:r w:rsidR="008A742D">
        <w:rPr>
          <w:lang w:val="fr-FR"/>
        </w:rPr>
        <w:t xml:space="preserve">compte tenu </w:t>
      </w:r>
      <w:r w:rsidR="001370BD">
        <w:rPr>
          <w:lang w:val="fr-FR"/>
        </w:rPr>
        <w:t xml:space="preserve">des </w:t>
      </w:r>
      <w:r w:rsidR="002508AF" w:rsidRPr="004A51F8">
        <w:rPr>
          <w:lang w:val="fr-FR"/>
        </w:rPr>
        <w:t>doutes sur la gravité des souffrances entra</w:t>
      </w:r>
      <w:r w:rsidR="008D7804">
        <w:rPr>
          <w:lang w:val="fr-FR"/>
        </w:rPr>
        <w:t>î</w:t>
      </w:r>
      <w:r w:rsidR="002508AF" w:rsidRPr="004A51F8">
        <w:rPr>
          <w:lang w:val="fr-FR"/>
        </w:rPr>
        <w:t>nées par les mau</w:t>
      </w:r>
      <w:r w:rsidR="00785D80">
        <w:rPr>
          <w:lang w:val="fr-FR"/>
        </w:rPr>
        <w:t xml:space="preserve">vais traitements en question et </w:t>
      </w:r>
      <w:r w:rsidR="001370BD">
        <w:rPr>
          <w:lang w:val="fr-FR"/>
        </w:rPr>
        <w:t xml:space="preserve">de </w:t>
      </w:r>
      <w:r w:rsidR="002508AF" w:rsidRPr="004A51F8">
        <w:rPr>
          <w:lang w:val="fr-FR"/>
        </w:rPr>
        <w:t>l</w:t>
      </w:r>
      <w:r w:rsidR="00603708">
        <w:rPr>
          <w:lang w:val="fr-FR"/>
        </w:rPr>
        <w:t>’</w:t>
      </w:r>
      <w:r w:rsidR="002508AF" w:rsidRPr="004A51F8">
        <w:rPr>
          <w:lang w:val="fr-FR"/>
        </w:rPr>
        <w:t>absence de séquelles de longue durée (</w:t>
      </w:r>
      <w:r w:rsidR="002508AF" w:rsidRPr="00AC0DAF">
        <w:rPr>
          <w:i/>
          <w:lang w:val="fr-FR"/>
        </w:rPr>
        <w:t>Egmez</w:t>
      </w:r>
      <w:r w:rsidR="00123069">
        <w:rPr>
          <w:i/>
          <w:lang w:val="fr-FR"/>
        </w:rPr>
        <w:t> </w:t>
      </w:r>
      <w:r w:rsidR="002508AF" w:rsidRPr="00AC0DAF">
        <w:rPr>
          <w:i/>
          <w:lang w:val="fr-FR"/>
        </w:rPr>
        <w:t>c. Chypre</w:t>
      </w:r>
      <w:r w:rsidR="002508AF" w:rsidRPr="00AC0DAF">
        <w:rPr>
          <w:lang w:val="fr-FR"/>
        </w:rPr>
        <w:t>, n</w:t>
      </w:r>
      <w:r w:rsidR="002508AF" w:rsidRPr="00AC0DAF">
        <w:rPr>
          <w:vertAlign w:val="superscript"/>
          <w:lang w:val="fr-FR"/>
        </w:rPr>
        <w:t>o</w:t>
      </w:r>
      <w:r w:rsidR="002508AF" w:rsidRPr="00AC0DAF">
        <w:rPr>
          <w:lang w:val="fr-FR"/>
        </w:rPr>
        <w:t xml:space="preserve"> 30873/96, §§ </w:t>
      </w:r>
      <w:r w:rsidR="009C0412" w:rsidRPr="00AC0DAF">
        <w:rPr>
          <w:lang w:val="fr-FR"/>
        </w:rPr>
        <w:t xml:space="preserve">76 et </w:t>
      </w:r>
      <w:r w:rsidR="002508AF" w:rsidRPr="00AC0DAF">
        <w:rPr>
          <w:lang w:val="fr-FR"/>
        </w:rPr>
        <w:t>78-79, CEDH 2000</w:t>
      </w:r>
      <w:r w:rsidR="002508AF" w:rsidRPr="00AC0DAF">
        <w:rPr>
          <w:lang w:val="fr-FR"/>
        </w:rPr>
        <w:noBreakHyphen/>
        <w:t>XII </w:t>
      </w:r>
      <w:r w:rsidR="002508AF" w:rsidRPr="00304F9C">
        <w:rPr>
          <w:lang w:val="fr-FR"/>
        </w:rPr>
        <w:t>)</w:t>
      </w:r>
      <w:r w:rsidR="002508AF" w:rsidRPr="004A51F8">
        <w:rPr>
          <w:lang w:val="fr-FR"/>
        </w:rPr>
        <w:t>.</w:t>
      </w:r>
    </w:p>
    <w:p w:rsidR="00453156" w:rsidRPr="00453156" w:rsidRDefault="005150B2" w:rsidP="002508AF">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176</w:t>
      </w:r>
      <w:r>
        <w:rPr>
          <w:lang w:val="fr-FR"/>
        </w:rPr>
        <w:fldChar w:fldCharType="end"/>
      </w:r>
      <w:r>
        <w:rPr>
          <w:lang w:val="fr-FR"/>
        </w:rPr>
        <w:t>.  </w:t>
      </w:r>
      <w:r w:rsidR="002508AF" w:rsidRPr="004A51F8">
        <w:rPr>
          <w:lang w:val="fr-FR"/>
        </w:rPr>
        <w:t xml:space="preserve">Enfin, </w:t>
      </w:r>
      <w:r w:rsidR="002508AF" w:rsidRPr="00AC0DAF">
        <w:rPr>
          <w:lang w:val="fr-FR"/>
        </w:rPr>
        <w:t>dans l</w:t>
      </w:r>
      <w:r w:rsidR="00603708">
        <w:rPr>
          <w:lang w:val="fr-FR"/>
        </w:rPr>
        <w:t>’</w:t>
      </w:r>
      <w:r w:rsidR="002508AF" w:rsidRPr="00AC0DAF">
        <w:rPr>
          <w:lang w:val="fr-FR"/>
        </w:rPr>
        <w:t xml:space="preserve">affaire </w:t>
      </w:r>
      <w:r w:rsidR="002508AF" w:rsidRPr="00AC0DAF">
        <w:rPr>
          <w:i/>
          <w:lang w:val="fr-FR"/>
        </w:rPr>
        <w:t>Gäfgen</w:t>
      </w:r>
      <w:r w:rsidR="002508AF" w:rsidRPr="004A51F8">
        <w:rPr>
          <w:lang w:val="fr-FR"/>
        </w:rPr>
        <w:t xml:space="preserve"> </w:t>
      </w:r>
      <w:r w:rsidR="00697802">
        <w:rPr>
          <w:lang w:val="fr-FR"/>
        </w:rPr>
        <w:t>(</w:t>
      </w:r>
      <w:r w:rsidR="002508AF" w:rsidRPr="004A51F8">
        <w:rPr>
          <w:lang w:val="fr-FR"/>
        </w:rPr>
        <w:t>précité</w:t>
      </w:r>
      <w:r w:rsidR="005C337F">
        <w:rPr>
          <w:lang w:val="fr-FR"/>
        </w:rPr>
        <w:t>e</w:t>
      </w:r>
      <w:r w:rsidR="00697802">
        <w:rPr>
          <w:lang w:val="fr-FR"/>
        </w:rPr>
        <w:t>)</w:t>
      </w:r>
      <w:r w:rsidR="002508AF" w:rsidRPr="004A51F8">
        <w:rPr>
          <w:lang w:val="fr-FR"/>
        </w:rPr>
        <w:t xml:space="preserve">, la Cour a </w:t>
      </w:r>
      <w:r w:rsidR="00697802">
        <w:rPr>
          <w:lang w:val="fr-FR"/>
        </w:rPr>
        <w:t>pris en compte</w:t>
      </w:r>
      <w:r w:rsidR="00697802" w:rsidRPr="004A51F8">
        <w:rPr>
          <w:lang w:val="fr-FR"/>
        </w:rPr>
        <w:t> </w:t>
      </w:r>
      <w:r w:rsidR="002508AF" w:rsidRPr="004A51F8">
        <w:rPr>
          <w:lang w:val="fr-FR"/>
        </w:rPr>
        <w:t>: a)</w:t>
      </w:r>
      <w:r w:rsidR="00697802">
        <w:rPr>
          <w:lang w:val="fr-FR"/>
        </w:rPr>
        <w:t>  </w:t>
      </w:r>
      <w:r w:rsidR="002508AF" w:rsidRPr="004A51F8">
        <w:rPr>
          <w:lang w:val="fr-FR"/>
        </w:rPr>
        <w:t xml:space="preserve">la durée du mauvais traitement infligé au requérant, </w:t>
      </w:r>
      <w:r w:rsidR="00697802">
        <w:rPr>
          <w:lang w:val="fr-FR"/>
        </w:rPr>
        <w:t xml:space="preserve">à savoir </w:t>
      </w:r>
      <w:r w:rsidR="002508AF" w:rsidRPr="004A51F8">
        <w:rPr>
          <w:lang w:val="fr-FR"/>
        </w:rPr>
        <w:t xml:space="preserve">environ dix minutes </w:t>
      </w:r>
      <w:r w:rsidR="00697802" w:rsidRPr="004A51F8">
        <w:rPr>
          <w:lang w:val="fr-FR"/>
        </w:rPr>
        <w:t>(</w:t>
      </w:r>
      <w:r w:rsidR="001C7E8C" w:rsidRPr="00AC0DAF">
        <w:rPr>
          <w:i/>
          <w:lang w:val="fr-FR"/>
        </w:rPr>
        <w:t>Gäfgen</w:t>
      </w:r>
      <w:r w:rsidR="001C7E8C">
        <w:rPr>
          <w:lang w:val="fr-FR"/>
        </w:rPr>
        <w:t xml:space="preserve">, </w:t>
      </w:r>
      <w:r w:rsidR="001C7E8C" w:rsidRPr="004A51F8">
        <w:rPr>
          <w:lang w:val="fr-FR"/>
        </w:rPr>
        <w:t>précité</w:t>
      </w:r>
      <w:r w:rsidR="001C7E8C">
        <w:rPr>
          <w:lang w:val="fr-FR"/>
        </w:rPr>
        <w:t>,</w:t>
      </w:r>
      <w:r w:rsidR="00697802" w:rsidRPr="004A51F8">
        <w:rPr>
          <w:lang w:val="fr-FR"/>
        </w:rPr>
        <w:t>§</w:t>
      </w:r>
      <w:r w:rsidR="00697802">
        <w:rPr>
          <w:lang w:val="fr-FR"/>
        </w:rPr>
        <w:t> </w:t>
      </w:r>
      <w:r w:rsidR="002508AF" w:rsidRPr="004A51F8">
        <w:rPr>
          <w:lang w:val="fr-FR"/>
        </w:rPr>
        <w:t>102) ; b)</w:t>
      </w:r>
      <w:r w:rsidR="00697802">
        <w:rPr>
          <w:lang w:val="fr-FR"/>
        </w:rPr>
        <w:t>  </w:t>
      </w:r>
      <w:r w:rsidR="002508AF" w:rsidRPr="004A51F8">
        <w:rPr>
          <w:lang w:val="fr-FR"/>
        </w:rPr>
        <w:t>les effets physiques ou mentaux qu</w:t>
      </w:r>
      <w:r w:rsidR="00697802">
        <w:rPr>
          <w:lang w:val="fr-FR"/>
        </w:rPr>
        <w:t>e ce traitement</w:t>
      </w:r>
      <w:r w:rsidR="002508AF" w:rsidRPr="004A51F8">
        <w:rPr>
          <w:lang w:val="fr-FR"/>
        </w:rPr>
        <w:t xml:space="preserve"> avait eu</w:t>
      </w:r>
      <w:r w:rsidR="00697802">
        <w:rPr>
          <w:lang w:val="fr-FR"/>
        </w:rPr>
        <w:t>s</w:t>
      </w:r>
      <w:r w:rsidR="002508AF" w:rsidRPr="004A51F8">
        <w:rPr>
          <w:lang w:val="fr-FR"/>
        </w:rPr>
        <w:t xml:space="preserve"> sur le requérant</w:t>
      </w:r>
      <w:r w:rsidR="00D40360">
        <w:rPr>
          <w:lang w:val="fr-FR"/>
        </w:rPr>
        <w:t> ; la Cour a</w:t>
      </w:r>
      <w:r w:rsidR="002508AF" w:rsidRPr="004A51F8">
        <w:rPr>
          <w:lang w:val="fr-FR"/>
        </w:rPr>
        <w:t xml:space="preserve"> estim</w:t>
      </w:r>
      <w:r w:rsidR="00D40360">
        <w:rPr>
          <w:lang w:val="fr-FR"/>
        </w:rPr>
        <w:t>é</w:t>
      </w:r>
      <w:r w:rsidR="002508AF" w:rsidRPr="004A51F8">
        <w:rPr>
          <w:lang w:val="fr-FR"/>
        </w:rPr>
        <w:t xml:space="preserve"> que les menaces de mauvais traitements avaient provoqué chez celui-ci une peur, une angoisse et des souffrances mentales considérables, mais </w:t>
      </w:r>
      <w:r w:rsidR="00D40360">
        <w:rPr>
          <w:lang w:val="fr-FR"/>
        </w:rPr>
        <w:t>pas de</w:t>
      </w:r>
      <w:r w:rsidR="00D40360" w:rsidRPr="004A51F8">
        <w:rPr>
          <w:lang w:val="fr-FR"/>
        </w:rPr>
        <w:t xml:space="preserve"> </w:t>
      </w:r>
      <w:r w:rsidR="002508AF" w:rsidRPr="004A51F8">
        <w:rPr>
          <w:lang w:val="fr-FR"/>
        </w:rPr>
        <w:t>séquelles à long terme (</w:t>
      </w:r>
      <w:r w:rsidR="00D40360" w:rsidRPr="000B5793">
        <w:rPr>
          <w:i/>
          <w:lang w:val="fr-FR"/>
        </w:rPr>
        <w:t>idem</w:t>
      </w:r>
      <w:r w:rsidR="00D40360">
        <w:rPr>
          <w:lang w:val="fr-FR"/>
        </w:rPr>
        <w:t xml:space="preserve">, </w:t>
      </w:r>
      <w:r w:rsidR="002508AF" w:rsidRPr="004A51F8">
        <w:rPr>
          <w:lang w:val="fr-FR"/>
        </w:rPr>
        <w:t>§ 103)</w:t>
      </w:r>
      <w:r w:rsidR="001370BD">
        <w:rPr>
          <w:lang w:val="fr-FR"/>
        </w:rPr>
        <w:t> ; c)</w:t>
      </w:r>
      <w:r w:rsidR="00697802">
        <w:rPr>
          <w:lang w:val="fr-FR"/>
        </w:rPr>
        <w:t>  </w:t>
      </w:r>
      <w:r w:rsidR="001370BD">
        <w:rPr>
          <w:lang w:val="fr-FR"/>
        </w:rPr>
        <w:t>la question de savoir si c</w:t>
      </w:r>
      <w:r w:rsidR="002508AF" w:rsidRPr="004A51F8">
        <w:rPr>
          <w:lang w:val="fr-FR"/>
        </w:rPr>
        <w:t>e mauvais traitement était intentionnel ou non</w:t>
      </w:r>
      <w:r w:rsidR="00C14807">
        <w:rPr>
          <w:lang w:val="fr-FR"/>
        </w:rPr>
        <w:t> ;</w:t>
      </w:r>
      <w:r w:rsidR="002508AF" w:rsidRPr="004A51F8">
        <w:rPr>
          <w:lang w:val="fr-FR"/>
        </w:rPr>
        <w:t xml:space="preserve"> </w:t>
      </w:r>
      <w:r w:rsidR="00C14807">
        <w:rPr>
          <w:lang w:val="fr-FR"/>
        </w:rPr>
        <w:t xml:space="preserve">la Cour a </w:t>
      </w:r>
      <w:r w:rsidR="002508AF" w:rsidRPr="004A51F8">
        <w:rPr>
          <w:lang w:val="fr-FR"/>
        </w:rPr>
        <w:t>jug</w:t>
      </w:r>
      <w:r w:rsidR="00C14807">
        <w:rPr>
          <w:lang w:val="fr-FR"/>
        </w:rPr>
        <w:t>é</w:t>
      </w:r>
      <w:r w:rsidR="002508AF" w:rsidRPr="004A51F8">
        <w:rPr>
          <w:lang w:val="fr-FR"/>
        </w:rPr>
        <w:t xml:space="preserve"> que les menaces </w:t>
      </w:r>
      <w:r w:rsidR="00697802">
        <w:rPr>
          <w:lang w:val="fr-FR"/>
        </w:rPr>
        <w:t>n</w:t>
      </w:r>
      <w:r w:rsidR="00603708">
        <w:rPr>
          <w:lang w:val="fr-FR"/>
        </w:rPr>
        <w:t>’</w:t>
      </w:r>
      <w:r w:rsidR="00697802">
        <w:rPr>
          <w:lang w:val="fr-FR"/>
        </w:rPr>
        <w:t>avaient</w:t>
      </w:r>
      <w:r w:rsidR="002508AF" w:rsidRPr="004A51F8">
        <w:rPr>
          <w:lang w:val="fr-FR"/>
        </w:rPr>
        <w:t xml:space="preserve"> pas </w:t>
      </w:r>
      <w:r w:rsidR="00697802">
        <w:rPr>
          <w:lang w:val="fr-FR"/>
        </w:rPr>
        <w:t xml:space="preserve">été </w:t>
      </w:r>
      <w:r w:rsidR="002508AF" w:rsidRPr="004A51F8">
        <w:rPr>
          <w:lang w:val="fr-FR"/>
        </w:rPr>
        <w:t xml:space="preserve">un acte spontané, mais </w:t>
      </w:r>
      <w:r w:rsidR="00697802">
        <w:rPr>
          <w:lang w:val="fr-FR"/>
        </w:rPr>
        <w:t>qu</w:t>
      </w:r>
      <w:r w:rsidR="00603708">
        <w:rPr>
          <w:lang w:val="fr-FR"/>
        </w:rPr>
        <w:t>’</w:t>
      </w:r>
      <w:r w:rsidR="00697802">
        <w:rPr>
          <w:lang w:val="fr-FR"/>
        </w:rPr>
        <w:t xml:space="preserve">elles avaient été </w:t>
      </w:r>
      <w:r w:rsidR="002508AF" w:rsidRPr="004A51F8">
        <w:rPr>
          <w:lang w:val="fr-FR"/>
        </w:rPr>
        <w:t xml:space="preserve">préméditées et conçues de manière délibérée et intentionnelle </w:t>
      </w:r>
      <w:r w:rsidR="00697802" w:rsidRPr="004A51F8">
        <w:rPr>
          <w:lang w:val="fr-FR"/>
        </w:rPr>
        <w:t>(</w:t>
      </w:r>
      <w:r w:rsidR="00D40360" w:rsidRPr="00DA5BAA">
        <w:rPr>
          <w:i/>
          <w:lang w:val="fr-FR"/>
        </w:rPr>
        <w:t>idem</w:t>
      </w:r>
      <w:r w:rsidR="00D40360">
        <w:rPr>
          <w:lang w:val="fr-FR"/>
        </w:rPr>
        <w:t xml:space="preserve">, </w:t>
      </w:r>
      <w:r w:rsidR="00697802" w:rsidRPr="004A51F8">
        <w:rPr>
          <w:lang w:val="fr-FR"/>
        </w:rPr>
        <w:t>§</w:t>
      </w:r>
      <w:r w:rsidR="00697802">
        <w:rPr>
          <w:lang w:val="fr-FR"/>
        </w:rPr>
        <w:t> </w:t>
      </w:r>
      <w:r w:rsidR="002508AF" w:rsidRPr="004A51F8">
        <w:rPr>
          <w:lang w:val="fr-FR"/>
        </w:rPr>
        <w:t>104) ; d)</w:t>
      </w:r>
      <w:r w:rsidR="00697802">
        <w:rPr>
          <w:lang w:val="fr-FR"/>
        </w:rPr>
        <w:t>  </w:t>
      </w:r>
      <w:r w:rsidR="002508AF" w:rsidRPr="004A51F8">
        <w:rPr>
          <w:lang w:val="fr-FR"/>
        </w:rPr>
        <w:t>le but que le mauvais traitement poursuivait et le contexte dans lequel il a</w:t>
      </w:r>
      <w:r w:rsidR="0058147F">
        <w:rPr>
          <w:lang w:val="fr-FR"/>
        </w:rPr>
        <w:t>vait</w:t>
      </w:r>
      <w:r w:rsidR="002508AF" w:rsidRPr="004A51F8">
        <w:rPr>
          <w:lang w:val="fr-FR"/>
        </w:rPr>
        <w:t xml:space="preserve"> été infligé</w:t>
      </w:r>
      <w:r w:rsidR="006C2C92">
        <w:rPr>
          <w:lang w:val="fr-FR"/>
        </w:rPr>
        <w:t> ;</w:t>
      </w:r>
      <w:r w:rsidR="002508AF" w:rsidRPr="004A51F8">
        <w:rPr>
          <w:lang w:val="fr-FR"/>
        </w:rPr>
        <w:t xml:space="preserve"> </w:t>
      </w:r>
      <w:r w:rsidR="006C2C92">
        <w:rPr>
          <w:lang w:val="fr-FR"/>
        </w:rPr>
        <w:t xml:space="preserve">la Cour a </w:t>
      </w:r>
      <w:r w:rsidR="002508AF" w:rsidRPr="004A51F8">
        <w:rPr>
          <w:lang w:val="fr-FR"/>
        </w:rPr>
        <w:t>soulign</w:t>
      </w:r>
      <w:r w:rsidR="006C2C92">
        <w:rPr>
          <w:lang w:val="fr-FR"/>
        </w:rPr>
        <w:t>é</w:t>
      </w:r>
      <w:r w:rsidR="002508AF" w:rsidRPr="004A51F8">
        <w:rPr>
          <w:lang w:val="fr-FR"/>
        </w:rPr>
        <w:t xml:space="preserve"> que les policiers avaient menacé le requérant de mauvais traitements </w:t>
      </w:r>
      <w:r w:rsidR="006C2C92">
        <w:rPr>
          <w:lang w:val="fr-FR"/>
        </w:rPr>
        <w:t xml:space="preserve">dans le but </w:t>
      </w:r>
      <w:r w:rsidR="002508AF" w:rsidRPr="004A51F8">
        <w:rPr>
          <w:lang w:val="fr-FR"/>
        </w:rPr>
        <w:t>d</w:t>
      </w:r>
      <w:r w:rsidR="0058147F">
        <w:rPr>
          <w:lang w:val="fr-FR"/>
        </w:rPr>
        <w:t xml:space="preserve">e lui </w:t>
      </w:r>
      <w:r w:rsidR="002508AF" w:rsidRPr="004A51F8">
        <w:rPr>
          <w:lang w:val="fr-FR"/>
        </w:rPr>
        <w:t>extorquer des informations sur le lieu où se trouvait un enfant kidnappé et qu</w:t>
      </w:r>
      <w:r w:rsidR="00603708">
        <w:rPr>
          <w:lang w:val="fr-FR"/>
        </w:rPr>
        <w:t>’</w:t>
      </w:r>
      <w:r w:rsidR="002508AF" w:rsidRPr="004A51F8">
        <w:rPr>
          <w:lang w:val="fr-FR"/>
        </w:rPr>
        <w:t xml:space="preserve">ils croyaient encore </w:t>
      </w:r>
      <w:r w:rsidR="00D85476">
        <w:rPr>
          <w:lang w:val="fr-FR"/>
        </w:rPr>
        <w:t xml:space="preserve">en </w:t>
      </w:r>
      <w:r w:rsidR="002508AF" w:rsidRPr="004A51F8">
        <w:rPr>
          <w:lang w:val="fr-FR"/>
        </w:rPr>
        <w:t>vi</w:t>
      </w:r>
      <w:r w:rsidR="00D85476">
        <w:rPr>
          <w:lang w:val="fr-FR"/>
        </w:rPr>
        <w:t>e</w:t>
      </w:r>
      <w:r w:rsidR="002508AF" w:rsidRPr="004A51F8">
        <w:rPr>
          <w:lang w:val="fr-FR"/>
        </w:rPr>
        <w:t>, mais en grave danger (</w:t>
      </w:r>
      <w:r w:rsidR="00D40360" w:rsidRPr="00DA5BAA">
        <w:rPr>
          <w:i/>
          <w:lang w:val="fr-FR"/>
        </w:rPr>
        <w:t>idem</w:t>
      </w:r>
      <w:r w:rsidR="00D40360">
        <w:rPr>
          <w:lang w:val="fr-FR"/>
        </w:rPr>
        <w:t xml:space="preserve">, </w:t>
      </w:r>
      <w:r w:rsidR="002508AF" w:rsidRPr="004A51F8">
        <w:rPr>
          <w:lang w:val="fr-FR"/>
        </w:rPr>
        <w:t>§</w:t>
      </w:r>
      <w:r w:rsidR="00453156">
        <w:rPr>
          <w:lang w:val="fr-FR"/>
        </w:rPr>
        <w:t>§</w:t>
      </w:r>
      <w:r w:rsidR="002508AF" w:rsidRPr="004A51F8">
        <w:rPr>
          <w:lang w:val="fr-FR"/>
        </w:rPr>
        <w:t xml:space="preserve"> 105</w:t>
      </w:r>
      <w:r w:rsidR="00453156">
        <w:rPr>
          <w:lang w:val="fr-FR"/>
        </w:rPr>
        <w:t>-106</w:t>
      </w:r>
      <w:r w:rsidR="002508AF" w:rsidRPr="004A51F8">
        <w:rPr>
          <w:lang w:val="fr-FR"/>
        </w:rPr>
        <w:t>). Ainsi</w:t>
      </w:r>
      <w:r w:rsidR="0041466B">
        <w:rPr>
          <w:lang w:val="fr-FR"/>
        </w:rPr>
        <w:t>,</w:t>
      </w:r>
      <w:r w:rsidR="002508AF" w:rsidRPr="004A51F8">
        <w:rPr>
          <w:lang w:val="fr-FR"/>
        </w:rPr>
        <w:t xml:space="preserve"> la Cour, tout en prenant en compte « la motivation qui inspirait le comportement des policiers et l</w:t>
      </w:r>
      <w:r w:rsidR="00603708">
        <w:rPr>
          <w:lang w:val="fr-FR"/>
        </w:rPr>
        <w:t>’</w:t>
      </w:r>
      <w:r w:rsidR="002508AF" w:rsidRPr="004A51F8">
        <w:rPr>
          <w:lang w:val="fr-FR"/>
        </w:rPr>
        <w:t>idée qu</w:t>
      </w:r>
      <w:r w:rsidR="00603708">
        <w:rPr>
          <w:lang w:val="fr-FR"/>
        </w:rPr>
        <w:t>’</w:t>
      </w:r>
      <w:r w:rsidR="002508AF" w:rsidRPr="004A51F8">
        <w:rPr>
          <w:lang w:val="fr-FR"/>
        </w:rPr>
        <w:t xml:space="preserve">ils </w:t>
      </w:r>
      <w:r w:rsidR="00D85476">
        <w:rPr>
          <w:lang w:val="fr-FR"/>
        </w:rPr>
        <w:t>[avaient]</w:t>
      </w:r>
      <w:r w:rsidR="00D85476" w:rsidRPr="004A51F8">
        <w:rPr>
          <w:lang w:val="fr-FR"/>
        </w:rPr>
        <w:t xml:space="preserve"> </w:t>
      </w:r>
      <w:r w:rsidR="002508AF" w:rsidRPr="004A51F8">
        <w:rPr>
          <w:lang w:val="fr-FR"/>
        </w:rPr>
        <w:t>agi dans le souci de sauver la vie d</w:t>
      </w:r>
      <w:r w:rsidR="00603708">
        <w:rPr>
          <w:lang w:val="fr-FR"/>
        </w:rPr>
        <w:t>’</w:t>
      </w:r>
      <w:r w:rsidR="002508AF" w:rsidRPr="004A51F8">
        <w:rPr>
          <w:lang w:val="fr-FR"/>
        </w:rPr>
        <w:t>un enfant » (</w:t>
      </w:r>
      <w:r w:rsidR="00D40360" w:rsidRPr="00DA5BAA">
        <w:rPr>
          <w:i/>
          <w:lang w:val="fr-FR"/>
        </w:rPr>
        <w:t>idem</w:t>
      </w:r>
      <w:r w:rsidR="00D40360">
        <w:rPr>
          <w:lang w:val="fr-FR"/>
        </w:rPr>
        <w:t xml:space="preserve">, </w:t>
      </w:r>
      <w:r w:rsidR="002508AF" w:rsidRPr="004A51F8">
        <w:rPr>
          <w:lang w:val="fr-FR"/>
        </w:rPr>
        <w:t xml:space="preserve">§ 107), </w:t>
      </w:r>
      <w:r w:rsidR="00453156">
        <w:rPr>
          <w:lang w:val="fr-FR"/>
        </w:rPr>
        <w:t>a</w:t>
      </w:r>
      <w:r w:rsidR="0024191A">
        <w:rPr>
          <w:lang w:val="fr-FR"/>
        </w:rPr>
        <w:t> </w:t>
      </w:r>
      <w:r w:rsidR="005C337F">
        <w:rPr>
          <w:lang w:val="fr-FR"/>
        </w:rPr>
        <w:t>jugé</w:t>
      </w:r>
      <w:r w:rsidR="00453156">
        <w:rPr>
          <w:lang w:val="fr-FR"/>
        </w:rPr>
        <w:t xml:space="preserve"> que </w:t>
      </w:r>
      <w:r w:rsidR="00453156" w:rsidRPr="000B5793">
        <w:rPr>
          <w:rStyle w:val="sb8d990e2"/>
          <w:lang w:val="fr-FR"/>
        </w:rPr>
        <w:t>la méthode d</w:t>
      </w:r>
      <w:r w:rsidR="00603708">
        <w:rPr>
          <w:rStyle w:val="sb8d990e2"/>
          <w:lang w:val="fr-FR"/>
        </w:rPr>
        <w:t>’</w:t>
      </w:r>
      <w:r w:rsidR="00453156" w:rsidRPr="000B5793">
        <w:rPr>
          <w:rStyle w:val="sb8d990e2"/>
          <w:lang w:val="fr-FR"/>
        </w:rPr>
        <w:t>interrogatoire à laquelle le requérant a</w:t>
      </w:r>
      <w:r w:rsidR="00453156">
        <w:rPr>
          <w:rStyle w:val="sb8d990e2"/>
          <w:lang w:val="fr-FR"/>
        </w:rPr>
        <w:t>vait</w:t>
      </w:r>
      <w:r w:rsidR="00453156" w:rsidRPr="000B5793">
        <w:rPr>
          <w:rStyle w:val="sb8d990e2"/>
          <w:lang w:val="fr-FR"/>
        </w:rPr>
        <w:t xml:space="preserve"> été soumis dans les circonstances de la présente affaire </w:t>
      </w:r>
      <w:r w:rsidR="00453156">
        <w:rPr>
          <w:rStyle w:val="sb8d990e2"/>
          <w:lang w:val="fr-FR"/>
        </w:rPr>
        <w:t>avait</w:t>
      </w:r>
      <w:r w:rsidR="00453156" w:rsidRPr="000B5793">
        <w:rPr>
          <w:rStyle w:val="sb8d990e2"/>
          <w:lang w:val="fr-FR"/>
        </w:rPr>
        <w:t xml:space="preserve"> été suffisamment grave pour être qualifiée de traitement inhumain prohibé par l</w:t>
      </w:r>
      <w:r w:rsidR="00603708">
        <w:rPr>
          <w:rStyle w:val="sb8d990e2"/>
          <w:lang w:val="fr-FR"/>
        </w:rPr>
        <w:t>’</w:t>
      </w:r>
      <w:r w:rsidR="00453156" w:rsidRPr="000B5793">
        <w:rPr>
          <w:rStyle w:val="sb8d990e2"/>
          <w:lang w:val="fr-FR"/>
        </w:rPr>
        <w:t xml:space="preserve">article 3, mais </w:t>
      </w:r>
      <w:r w:rsidR="00453156">
        <w:rPr>
          <w:rStyle w:val="sb8d990e2"/>
          <w:lang w:val="fr-FR"/>
        </w:rPr>
        <w:t>qu</w:t>
      </w:r>
      <w:r w:rsidR="00603708">
        <w:rPr>
          <w:rStyle w:val="sb8d990e2"/>
          <w:lang w:val="fr-FR"/>
        </w:rPr>
        <w:t>’</w:t>
      </w:r>
      <w:r w:rsidR="00453156">
        <w:rPr>
          <w:rStyle w:val="sb8d990e2"/>
          <w:lang w:val="fr-FR"/>
        </w:rPr>
        <w:t xml:space="preserve">elle </w:t>
      </w:r>
      <w:r w:rsidR="00453156" w:rsidRPr="000B5793">
        <w:rPr>
          <w:rStyle w:val="sb8d990e2"/>
          <w:lang w:val="fr-FR"/>
        </w:rPr>
        <w:t>n</w:t>
      </w:r>
      <w:r w:rsidR="00603708">
        <w:rPr>
          <w:rStyle w:val="sb8d990e2"/>
          <w:lang w:val="fr-FR"/>
        </w:rPr>
        <w:t>’</w:t>
      </w:r>
      <w:r w:rsidR="00453156" w:rsidRPr="000B5793">
        <w:rPr>
          <w:rStyle w:val="sb8d990e2"/>
          <w:lang w:val="fr-FR"/>
        </w:rPr>
        <w:t>a</w:t>
      </w:r>
      <w:r w:rsidR="00453156">
        <w:rPr>
          <w:rStyle w:val="sb8d990e2"/>
          <w:lang w:val="fr-FR"/>
        </w:rPr>
        <w:t>vait</w:t>
      </w:r>
      <w:r w:rsidR="00453156" w:rsidRPr="000B5793">
        <w:rPr>
          <w:rStyle w:val="sb8d990e2"/>
          <w:lang w:val="fr-FR"/>
        </w:rPr>
        <w:t xml:space="preserve"> pas eu le niveau de cruauté requis pour atteindre le seuil de la torture</w:t>
      </w:r>
      <w:r w:rsidR="00453156">
        <w:rPr>
          <w:rStyle w:val="sb8d990e2"/>
          <w:lang w:val="fr-FR"/>
        </w:rPr>
        <w:t xml:space="preserve"> </w:t>
      </w:r>
      <w:r w:rsidR="00453156" w:rsidRPr="004A51F8">
        <w:rPr>
          <w:lang w:val="fr-FR"/>
        </w:rPr>
        <w:t>(</w:t>
      </w:r>
      <w:r w:rsidR="00453156" w:rsidRPr="00DA5BAA">
        <w:rPr>
          <w:i/>
          <w:lang w:val="fr-FR"/>
        </w:rPr>
        <w:t>idem</w:t>
      </w:r>
      <w:r w:rsidR="00453156">
        <w:rPr>
          <w:lang w:val="fr-FR"/>
        </w:rPr>
        <w:t xml:space="preserve">, </w:t>
      </w:r>
      <w:r w:rsidR="00453156" w:rsidRPr="004A51F8">
        <w:rPr>
          <w:lang w:val="fr-FR"/>
        </w:rPr>
        <w:t>§ 108)</w:t>
      </w:r>
      <w:r w:rsidR="00453156">
        <w:rPr>
          <w:rStyle w:val="sb8d990e2"/>
          <w:lang w:val="fr-FR"/>
        </w:rPr>
        <w:t>.</w:t>
      </w:r>
    </w:p>
    <w:p w:rsidR="00747C68" w:rsidRDefault="00747C68" w:rsidP="000B5793">
      <w:pPr>
        <w:pStyle w:val="ECHRHeading6"/>
        <w:rPr>
          <w:rFonts w:eastAsia="Times New Roman"/>
          <w:lang w:val="fr-FR"/>
        </w:rPr>
      </w:pPr>
      <w:r>
        <w:rPr>
          <w:rFonts w:eastAsia="Times New Roman"/>
          <w:lang w:val="fr-FR"/>
        </w:rPr>
        <w:t>ß</w:t>
      </w:r>
      <w:r w:rsidRPr="00747C68">
        <w:rPr>
          <w:rFonts w:eastAsia="Times New Roman"/>
          <w:lang w:val="fr-FR"/>
        </w:rPr>
        <w:t>)</w:t>
      </w:r>
      <w:r>
        <w:rPr>
          <w:rFonts w:eastAsia="Times New Roman"/>
          <w:lang w:val="fr-FR"/>
        </w:rPr>
        <w:t> </w:t>
      </w:r>
      <w:r w:rsidR="003A0DA9">
        <w:rPr>
          <w:rFonts w:eastAsia="Times New Roman"/>
          <w:lang w:val="fr-FR"/>
        </w:rPr>
        <w:t> </w:t>
      </w:r>
      <w:r w:rsidR="008C2E39">
        <w:rPr>
          <w:rFonts w:eastAsia="Times New Roman"/>
          <w:lang w:val="fr-FR"/>
        </w:rPr>
        <w:t>Application en l</w:t>
      </w:r>
      <w:r w:rsidR="00603708">
        <w:rPr>
          <w:rFonts w:eastAsia="Times New Roman"/>
          <w:lang w:val="fr-FR"/>
        </w:rPr>
        <w:t>’</w:t>
      </w:r>
      <w:r w:rsidR="008C2E39">
        <w:rPr>
          <w:rFonts w:eastAsia="Times New Roman"/>
          <w:lang w:val="fr-FR"/>
        </w:rPr>
        <w:t>espèce</w:t>
      </w:r>
    </w:p>
    <w:p w:rsidR="0032468C" w:rsidRDefault="005150B2" w:rsidP="002508AF">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177</w:t>
      </w:r>
      <w:r>
        <w:rPr>
          <w:lang w:val="fr-FR"/>
        </w:rPr>
        <w:fldChar w:fldCharType="end"/>
      </w:r>
      <w:r>
        <w:rPr>
          <w:lang w:val="fr-FR"/>
        </w:rPr>
        <w:t>.  </w:t>
      </w:r>
      <w:r w:rsidR="00C03022">
        <w:rPr>
          <w:lang w:val="fr-FR"/>
        </w:rPr>
        <w:t>Dans la présente affaire</w:t>
      </w:r>
      <w:r w:rsidR="00C03022" w:rsidRPr="001370BD">
        <w:rPr>
          <w:lang w:val="fr-FR"/>
        </w:rPr>
        <w:t>,</w:t>
      </w:r>
      <w:r w:rsidR="002508AF" w:rsidRPr="001370BD">
        <w:rPr>
          <w:lang w:val="fr-FR"/>
        </w:rPr>
        <w:t xml:space="preserve"> </w:t>
      </w:r>
      <w:r w:rsidR="00CE1DE1">
        <w:rPr>
          <w:lang w:val="fr-FR"/>
        </w:rPr>
        <w:t>la Cour</w:t>
      </w:r>
      <w:r w:rsidR="002508AF" w:rsidRPr="001370BD">
        <w:rPr>
          <w:lang w:val="fr-FR"/>
        </w:rPr>
        <w:t xml:space="preserve"> </w:t>
      </w:r>
      <w:r w:rsidR="00CE1DE1">
        <w:rPr>
          <w:lang w:val="fr-FR"/>
        </w:rPr>
        <w:t xml:space="preserve">ne saurait </w:t>
      </w:r>
      <w:r w:rsidR="00C158FB">
        <w:rPr>
          <w:lang w:val="fr-FR"/>
        </w:rPr>
        <w:t>ignorer</w:t>
      </w:r>
      <w:r w:rsidR="002508AF" w:rsidRPr="001370BD">
        <w:rPr>
          <w:lang w:val="fr-FR"/>
        </w:rPr>
        <w:t xml:space="preserve"> que</w:t>
      </w:r>
      <w:r w:rsidR="00944AD1">
        <w:rPr>
          <w:lang w:val="fr-FR"/>
        </w:rPr>
        <w:t>,</w:t>
      </w:r>
      <w:r w:rsidR="002508AF" w:rsidRPr="001370BD">
        <w:rPr>
          <w:lang w:val="fr-FR"/>
        </w:rPr>
        <w:t xml:space="preserve"> d</w:t>
      </w:r>
      <w:r w:rsidR="00603708">
        <w:rPr>
          <w:lang w:val="fr-FR"/>
        </w:rPr>
        <w:t>’</w:t>
      </w:r>
      <w:r w:rsidR="002508AF" w:rsidRPr="001370BD">
        <w:rPr>
          <w:lang w:val="fr-FR"/>
        </w:rPr>
        <w:t xml:space="preserve">après la Cour de cassation, les violences </w:t>
      </w:r>
      <w:r w:rsidR="00302FAF">
        <w:rPr>
          <w:lang w:val="fr-FR"/>
        </w:rPr>
        <w:t>de</w:t>
      </w:r>
      <w:r w:rsidR="002508AF" w:rsidRPr="001370BD">
        <w:rPr>
          <w:lang w:val="fr-FR"/>
        </w:rPr>
        <w:t xml:space="preserve"> l</w:t>
      </w:r>
      <w:r w:rsidR="00603708">
        <w:rPr>
          <w:lang w:val="fr-FR"/>
        </w:rPr>
        <w:t>’</w:t>
      </w:r>
      <w:r w:rsidR="002508AF" w:rsidRPr="001370BD">
        <w:rPr>
          <w:lang w:val="fr-FR"/>
        </w:rPr>
        <w:t>école Diaz-Pertini</w:t>
      </w:r>
      <w:r w:rsidR="00CE1DE1">
        <w:rPr>
          <w:lang w:val="fr-FR"/>
        </w:rPr>
        <w:t>,</w:t>
      </w:r>
      <w:r w:rsidR="002508AF" w:rsidRPr="001370BD">
        <w:rPr>
          <w:lang w:val="fr-FR"/>
        </w:rPr>
        <w:t xml:space="preserve"> dont le requérant a </w:t>
      </w:r>
      <w:r w:rsidR="00302FAF">
        <w:rPr>
          <w:lang w:val="fr-FR"/>
        </w:rPr>
        <w:t>été victime</w:t>
      </w:r>
      <w:r w:rsidR="00CE1DE1">
        <w:rPr>
          <w:lang w:val="fr-FR"/>
        </w:rPr>
        <w:t>,</w:t>
      </w:r>
      <w:r w:rsidR="002508AF" w:rsidRPr="001370BD">
        <w:rPr>
          <w:lang w:val="fr-FR"/>
        </w:rPr>
        <w:t xml:space="preserve"> avaient été </w:t>
      </w:r>
      <w:r w:rsidR="00302FAF">
        <w:rPr>
          <w:lang w:val="fr-FR"/>
        </w:rPr>
        <w:t>perpétrées</w:t>
      </w:r>
      <w:r w:rsidR="002508AF" w:rsidRPr="001370BD">
        <w:rPr>
          <w:lang w:val="fr-FR"/>
        </w:rPr>
        <w:t xml:space="preserve"> dans </w:t>
      </w:r>
      <w:r w:rsidR="00302FAF">
        <w:rPr>
          <w:lang w:val="fr-FR"/>
        </w:rPr>
        <w:t>« </w:t>
      </w:r>
      <w:r w:rsidR="002508AF" w:rsidRPr="001370BD">
        <w:rPr>
          <w:lang w:val="fr-FR"/>
        </w:rPr>
        <w:t xml:space="preserve">un but punitif, </w:t>
      </w:r>
      <w:r w:rsidR="00C158FB">
        <w:rPr>
          <w:lang w:val="fr-FR"/>
        </w:rPr>
        <w:t xml:space="preserve">un but </w:t>
      </w:r>
      <w:r w:rsidR="002508AF" w:rsidRPr="001370BD">
        <w:rPr>
          <w:lang w:val="fr-FR"/>
        </w:rPr>
        <w:t>de représailles, visant à provoquer l</w:t>
      </w:r>
      <w:r w:rsidR="00603708">
        <w:rPr>
          <w:lang w:val="fr-FR"/>
        </w:rPr>
        <w:t>’</w:t>
      </w:r>
      <w:r w:rsidR="002508AF" w:rsidRPr="001370BD">
        <w:rPr>
          <w:lang w:val="fr-FR"/>
        </w:rPr>
        <w:t>humiliation et la souffrance physique et morale des victimes</w:t>
      </w:r>
      <w:r w:rsidR="00CE1DE1">
        <w:rPr>
          <w:lang w:val="fr-FR"/>
        </w:rPr>
        <w:t> »</w:t>
      </w:r>
      <w:r w:rsidR="00C158FB">
        <w:rPr>
          <w:lang w:val="fr-FR"/>
        </w:rPr>
        <w:t>, et qu</w:t>
      </w:r>
      <w:r w:rsidR="00603708">
        <w:rPr>
          <w:lang w:val="fr-FR"/>
        </w:rPr>
        <w:t>’</w:t>
      </w:r>
      <w:r w:rsidR="00C158FB">
        <w:rPr>
          <w:lang w:val="fr-FR"/>
        </w:rPr>
        <w:t xml:space="preserve">elles pouvaient relever </w:t>
      </w:r>
      <w:r w:rsidR="002508AF" w:rsidRPr="001370BD">
        <w:rPr>
          <w:lang w:val="fr-FR"/>
        </w:rPr>
        <w:t>de la «</w:t>
      </w:r>
      <w:r w:rsidR="0084320D">
        <w:rPr>
          <w:lang w:val="fr-FR"/>
        </w:rPr>
        <w:t> </w:t>
      </w:r>
      <w:r w:rsidR="002508AF" w:rsidRPr="001370BD">
        <w:rPr>
          <w:lang w:val="fr-FR"/>
        </w:rPr>
        <w:t>torture</w:t>
      </w:r>
      <w:r w:rsidR="0084320D">
        <w:rPr>
          <w:lang w:val="fr-FR"/>
        </w:rPr>
        <w:t> </w:t>
      </w:r>
      <w:r w:rsidR="002508AF" w:rsidRPr="001370BD">
        <w:rPr>
          <w:lang w:val="fr-FR"/>
        </w:rPr>
        <w:t>»</w:t>
      </w:r>
      <w:r w:rsidR="002C493F">
        <w:rPr>
          <w:lang w:val="fr-FR"/>
        </w:rPr>
        <w:t xml:space="preserve"> aux</w:t>
      </w:r>
      <w:r w:rsidR="0024191A">
        <w:rPr>
          <w:lang w:val="fr-FR"/>
        </w:rPr>
        <w:t> </w:t>
      </w:r>
      <w:r w:rsidR="002C493F">
        <w:rPr>
          <w:lang w:val="fr-FR"/>
        </w:rPr>
        <w:t>termes de l</w:t>
      </w:r>
      <w:r w:rsidR="00603708">
        <w:rPr>
          <w:lang w:val="fr-FR"/>
        </w:rPr>
        <w:t>’</w:t>
      </w:r>
      <w:r w:rsidR="002C493F">
        <w:rPr>
          <w:lang w:val="fr-FR"/>
        </w:rPr>
        <w:t>article 1 de la</w:t>
      </w:r>
      <w:r w:rsidR="002508AF" w:rsidRPr="004A51F8">
        <w:rPr>
          <w:lang w:val="fr-FR"/>
        </w:rPr>
        <w:t xml:space="preserve"> Convention contre la torture et autres peines ou traitements cruels, inhumains o</w:t>
      </w:r>
      <w:r w:rsidR="0073386F">
        <w:rPr>
          <w:lang w:val="fr-FR"/>
        </w:rPr>
        <w:t>u</w:t>
      </w:r>
      <w:r w:rsidR="002508AF" w:rsidRPr="004A51F8">
        <w:rPr>
          <w:lang w:val="fr-FR"/>
        </w:rPr>
        <w:t xml:space="preserve"> dégradants (</w:t>
      </w:r>
      <w:r w:rsidR="00CD1EDB" w:rsidRPr="00AC0DAF">
        <w:rPr>
          <w:lang w:val="fr-FR"/>
        </w:rPr>
        <w:t>paragraphe 77</w:t>
      </w:r>
      <w:r w:rsidR="00302FAF" w:rsidRPr="00AC0DAF">
        <w:rPr>
          <w:lang w:val="fr-FR"/>
        </w:rPr>
        <w:t xml:space="preserve"> ci-dessus</w:t>
      </w:r>
      <w:r w:rsidR="002508AF" w:rsidRPr="004A51F8">
        <w:rPr>
          <w:lang w:val="fr-FR"/>
        </w:rPr>
        <w:t>).</w:t>
      </w:r>
    </w:p>
    <w:p w:rsidR="0032468C" w:rsidRDefault="00CE1DE1" w:rsidP="00901472">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178</w:t>
      </w:r>
      <w:r>
        <w:rPr>
          <w:lang w:val="fr-FR"/>
        </w:rPr>
        <w:fldChar w:fldCharType="end"/>
      </w:r>
      <w:r>
        <w:rPr>
          <w:lang w:val="fr-FR"/>
        </w:rPr>
        <w:t xml:space="preserve">.  Ensuite, </w:t>
      </w:r>
      <w:r w:rsidR="00F30303">
        <w:rPr>
          <w:lang w:val="fr-FR"/>
        </w:rPr>
        <w:t xml:space="preserve">il </w:t>
      </w:r>
      <w:r w:rsidR="0046552A">
        <w:rPr>
          <w:lang w:val="fr-FR"/>
        </w:rPr>
        <w:t>ressort du dossier que</w:t>
      </w:r>
      <w:r w:rsidR="003739A3">
        <w:rPr>
          <w:lang w:val="fr-FR"/>
        </w:rPr>
        <w:t xml:space="preserve"> le requérant </w:t>
      </w:r>
      <w:r w:rsidR="002508AF" w:rsidRPr="004A51F8">
        <w:rPr>
          <w:lang w:val="fr-FR"/>
        </w:rPr>
        <w:t xml:space="preserve">a été </w:t>
      </w:r>
      <w:r w:rsidR="0041466B">
        <w:rPr>
          <w:lang w:val="fr-FR"/>
        </w:rPr>
        <w:t>agressé</w:t>
      </w:r>
      <w:r w:rsidR="0041466B" w:rsidRPr="004A51F8">
        <w:rPr>
          <w:lang w:val="fr-FR"/>
        </w:rPr>
        <w:t xml:space="preserve"> </w:t>
      </w:r>
      <w:r w:rsidR="002508AF" w:rsidRPr="004A51F8">
        <w:rPr>
          <w:lang w:val="fr-FR"/>
        </w:rPr>
        <w:t xml:space="preserve">par des agents </w:t>
      </w:r>
      <w:r w:rsidR="0021191D">
        <w:rPr>
          <w:lang w:val="fr-FR"/>
        </w:rPr>
        <w:t>à</w:t>
      </w:r>
      <w:r w:rsidR="002508AF" w:rsidRPr="004A51F8">
        <w:rPr>
          <w:lang w:val="fr-FR"/>
        </w:rPr>
        <w:t xml:space="preserve"> coup</w:t>
      </w:r>
      <w:r w:rsidR="0084320D">
        <w:rPr>
          <w:lang w:val="fr-FR"/>
        </w:rPr>
        <w:t>s</w:t>
      </w:r>
      <w:r w:rsidR="002508AF" w:rsidRPr="004A51F8">
        <w:rPr>
          <w:lang w:val="fr-FR"/>
        </w:rPr>
        <w:t xml:space="preserve"> de pied et </w:t>
      </w:r>
      <w:r w:rsidR="0084320D">
        <w:rPr>
          <w:lang w:val="fr-FR"/>
        </w:rPr>
        <w:t xml:space="preserve">de </w:t>
      </w:r>
      <w:r w:rsidR="002508AF" w:rsidRPr="004A51F8">
        <w:rPr>
          <w:lang w:val="fr-FR"/>
        </w:rPr>
        <w:t xml:space="preserve">matraque du type </w:t>
      </w:r>
      <w:r w:rsidR="002508AF" w:rsidRPr="004A51F8">
        <w:rPr>
          <w:i/>
          <w:lang w:val="fr-FR"/>
        </w:rPr>
        <w:t>tonfa</w:t>
      </w:r>
      <w:r w:rsidR="002508AF" w:rsidRPr="004A51F8">
        <w:rPr>
          <w:lang w:val="fr-FR"/>
        </w:rPr>
        <w:t>,</w:t>
      </w:r>
      <w:r w:rsidR="0084320D">
        <w:rPr>
          <w:lang w:val="fr-FR"/>
        </w:rPr>
        <w:t xml:space="preserve"> </w:t>
      </w:r>
      <w:r w:rsidR="00C158FB">
        <w:rPr>
          <w:lang w:val="fr-FR"/>
        </w:rPr>
        <w:t>considérée comme</w:t>
      </w:r>
      <w:r w:rsidR="002508AF" w:rsidRPr="004A51F8">
        <w:rPr>
          <w:lang w:val="fr-FR"/>
        </w:rPr>
        <w:t xml:space="preserve"> potentiellement meurtri</w:t>
      </w:r>
      <w:r w:rsidR="0084320D">
        <w:rPr>
          <w:lang w:val="fr-FR"/>
        </w:rPr>
        <w:t>ère</w:t>
      </w:r>
      <w:r w:rsidR="002508AF" w:rsidRPr="004A51F8">
        <w:rPr>
          <w:lang w:val="fr-FR"/>
        </w:rPr>
        <w:t xml:space="preserve"> par l</w:t>
      </w:r>
      <w:r w:rsidR="00603708">
        <w:rPr>
          <w:lang w:val="fr-FR"/>
        </w:rPr>
        <w:t>’</w:t>
      </w:r>
      <w:r w:rsidR="002508AF" w:rsidRPr="004A51F8">
        <w:rPr>
          <w:lang w:val="fr-FR"/>
        </w:rPr>
        <w:t>arrêt d</w:t>
      </w:r>
      <w:r w:rsidR="00603708">
        <w:rPr>
          <w:lang w:val="fr-FR"/>
        </w:rPr>
        <w:t>’</w:t>
      </w:r>
      <w:r w:rsidR="002508AF" w:rsidRPr="004A51F8">
        <w:rPr>
          <w:lang w:val="fr-FR"/>
        </w:rPr>
        <w:t>appel (</w:t>
      </w:r>
      <w:r w:rsidR="00901472" w:rsidRPr="00AC0DAF">
        <w:rPr>
          <w:lang w:val="fr-FR"/>
        </w:rPr>
        <w:t>paragraphe</w:t>
      </w:r>
      <w:r w:rsidR="00CD1EDB" w:rsidRPr="00AC0DAF">
        <w:rPr>
          <w:lang w:val="fr-FR"/>
        </w:rPr>
        <w:t xml:space="preserve"> 68</w:t>
      </w:r>
      <w:r w:rsidR="002508AF" w:rsidRPr="00AC0DAF">
        <w:rPr>
          <w:lang w:val="fr-FR"/>
        </w:rPr>
        <w:t xml:space="preserve"> </w:t>
      </w:r>
      <w:r w:rsidR="00901472" w:rsidRPr="00AC0DAF">
        <w:rPr>
          <w:lang w:val="fr-FR"/>
        </w:rPr>
        <w:t>ci-dessus</w:t>
      </w:r>
      <w:r w:rsidR="002508AF" w:rsidRPr="004A51F8">
        <w:rPr>
          <w:lang w:val="fr-FR"/>
        </w:rPr>
        <w:t>)</w:t>
      </w:r>
      <w:r w:rsidR="00CD1EDB">
        <w:rPr>
          <w:lang w:val="fr-FR"/>
        </w:rPr>
        <w:t>,</w:t>
      </w:r>
      <w:r w:rsidR="002508AF" w:rsidRPr="004A51F8">
        <w:rPr>
          <w:lang w:val="fr-FR"/>
        </w:rPr>
        <w:t xml:space="preserve"> et </w:t>
      </w:r>
      <w:r w:rsidR="0084320D">
        <w:rPr>
          <w:lang w:val="fr-FR"/>
        </w:rPr>
        <w:t>qu</w:t>
      </w:r>
      <w:r w:rsidR="00603708">
        <w:rPr>
          <w:lang w:val="fr-FR"/>
        </w:rPr>
        <w:t>’</w:t>
      </w:r>
      <w:r w:rsidR="0084320D">
        <w:rPr>
          <w:lang w:val="fr-FR"/>
        </w:rPr>
        <w:t xml:space="preserve">il a été </w:t>
      </w:r>
      <w:r w:rsidR="002508AF" w:rsidRPr="004A51F8">
        <w:rPr>
          <w:lang w:val="fr-FR"/>
        </w:rPr>
        <w:t>frappé à maintes reprises à plusieurs endroits du corps.</w:t>
      </w:r>
    </w:p>
    <w:p w:rsidR="00603708" w:rsidRDefault="00286BF6" w:rsidP="0046552A">
      <w:pPr>
        <w:pStyle w:val="ECHRPara"/>
        <w:tabs>
          <w:tab w:val="num" w:pos="780"/>
        </w:tabs>
        <w:ind w:firstLine="360"/>
        <w:rPr>
          <w:lang w:val="fr-FR"/>
        </w:rPr>
      </w:pPr>
      <w:r>
        <w:rPr>
          <w:lang w:val="fr-FR"/>
        </w:rPr>
        <w:t xml:space="preserve">Les </w:t>
      </w:r>
      <w:r w:rsidR="002508AF" w:rsidRPr="004A51F8">
        <w:rPr>
          <w:lang w:val="fr-FR"/>
        </w:rPr>
        <w:t xml:space="preserve">coups donnés au requérant lui </w:t>
      </w:r>
      <w:r w:rsidR="001104A2">
        <w:rPr>
          <w:lang w:val="fr-FR"/>
        </w:rPr>
        <w:t>ont causé</w:t>
      </w:r>
      <w:r w:rsidR="002508AF" w:rsidRPr="004A51F8">
        <w:rPr>
          <w:lang w:val="fr-FR"/>
        </w:rPr>
        <w:t xml:space="preserve"> de multiples fractures</w:t>
      </w:r>
      <w:r w:rsidR="0084320D">
        <w:rPr>
          <w:lang w:val="fr-FR"/>
        </w:rPr>
        <w:t xml:space="preserve"> </w:t>
      </w:r>
      <w:r w:rsidR="002508AF" w:rsidRPr="004A51F8">
        <w:rPr>
          <w:lang w:val="fr-FR"/>
        </w:rPr>
        <w:t>(du</w:t>
      </w:r>
      <w:r w:rsidR="0024191A">
        <w:rPr>
          <w:lang w:val="fr-FR"/>
        </w:rPr>
        <w:t> </w:t>
      </w:r>
      <w:r w:rsidR="002508AF" w:rsidRPr="004A51F8">
        <w:rPr>
          <w:lang w:val="fr-FR"/>
        </w:rPr>
        <w:t xml:space="preserve">cubitus droit, du styloïde droit, de la fibule droite et de </w:t>
      </w:r>
      <w:r w:rsidR="00304F9C">
        <w:rPr>
          <w:lang w:val="fr-FR"/>
        </w:rPr>
        <w:t>plusieurs</w:t>
      </w:r>
      <w:r w:rsidR="00304F9C" w:rsidRPr="004A51F8">
        <w:rPr>
          <w:lang w:val="fr-FR"/>
        </w:rPr>
        <w:t xml:space="preserve"> </w:t>
      </w:r>
      <w:r w:rsidR="002508AF" w:rsidRPr="004A51F8">
        <w:rPr>
          <w:lang w:val="fr-FR"/>
        </w:rPr>
        <w:t>côtes) qui ont entra</w:t>
      </w:r>
      <w:r w:rsidR="0084320D">
        <w:rPr>
          <w:lang w:val="fr-FR"/>
        </w:rPr>
        <w:t>î</w:t>
      </w:r>
      <w:r w:rsidR="002508AF" w:rsidRPr="004A51F8">
        <w:rPr>
          <w:lang w:val="fr-FR"/>
        </w:rPr>
        <w:t xml:space="preserve">né une hospitalisation de quatre jours, </w:t>
      </w:r>
      <w:r w:rsidRPr="004A51F8">
        <w:rPr>
          <w:lang w:val="fr-FR"/>
        </w:rPr>
        <w:t xml:space="preserve">une incapacité temporaire </w:t>
      </w:r>
      <w:r w:rsidR="00304F9C">
        <w:rPr>
          <w:lang w:val="fr-FR"/>
        </w:rPr>
        <w:t xml:space="preserve">supérieure à </w:t>
      </w:r>
      <w:r w:rsidRPr="004A51F8">
        <w:rPr>
          <w:lang w:val="fr-FR"/>
        </w:rPr>
        <w:t>quarante jours</w:t>
      </w:r>
      <w:r>
        <w:rPr>
          <w:lang w:val="fr-FR"/>
        </w:rPr>
        <w:t>,</w:t>
      </w:r>
      <w:r w:rsidRPr="004A51F8">
        <w:rPr>
          <w:lang w:val="fr-FR"/>
        </w:rPr>
        <w:t xml:space="preserve"> </w:t>
      </w:r>
      <w:r>
        <w:rPr>
          <w:lang w:val="fr-FR"/>
        </w:rPr>
        <w:t>une</w:t>
      </w:r>
      <w:r w:rsidR="002508AF" w:rsidRPr="004A51F8">
        <w:rPr>
          <w:lang w:val="fr-FR"/>
        </w:rPr>
        <w:t xml:space="preserve"> opération chirurgicale</w:t>
      </w:r>
      <w:r>
        <w:rPr>
          <w:lang w:val="fr-FR"/>
        </w:rPr>
        <w:t xml:space="preserve"> lors de </w:t>
      </w:r>
      <w:r w:rsidR="007847E8">
        <w:rPr>
          <w:lang w:val="fr-FR"/>
        </w:rPr>
        <w:t>ladite</w:t>
      </w:r>
      <w:r>
        <w:rPr>
          <w:lang w:val="fr-FR"/>
        </w:rPr>
        <w:t xml:space="preserve"> hospitalisation ainsi qu</w:t>
      </w:r>
      <w:r w:rsidR="00603708">
        <w:rPr>
          <w:lang w:val="fr-FR"/>
        </w:rPr>
        <w:t>’</w:t>
      </w:r>
      <w:r>
        <w:rPr>
          <w:lang w:val="fr-FR"/>
        </w:rPr>
        <w:t xml:space="preserve">une opération chirurgicale </w:t>
      </w:r>
      <w:r w:rsidR="00CD1EDB">
        <w:rPr>
          <w:lang w:val="fr-FR"/>
        </w:rPr>
        <w:t>quelques années plus tard</w:t>
      </w:r>
      <w:r w:rsidR="00F30303">
        <w:rPr>
          <w:lang w:val="fr-FR"/>
        </w:rPr>
        <w:t xml:space="preserve"> ; le requérant </w:t>
      </w:r>
      <w:r w:rsidR="0084320D">
        <w:rPr>
          <w:lang w:val="fr-FR"/>
        </w:rPr>
        <w:t xml:space="preserve">en </w:t>
      </w:r>
      <w:r w:rsidR="00F30303">
        <w:rPr>
          <w:lang w:val="fr-FR"/>
        </w:rPr>
        <w:t>a gardé</w:t>
      </w:r>
      <w:r w:rsidR="002508AF" w:rsidRPr="004A51F8">
        <w:rPr>
          <w:lang w:val="fr-FR"/>
        </w:rPr>
        <w:t xml:space="preserve"> un</w:t>
      </w:r>
      <w:r w:rsidR="0084320D">
        <w:rPr>
          <w:lang w:val="fr-FR"/>
        </w:rPr>
        <w:t>e</w:t>
      </w:r>
      <w:r w:rsidR="002508AF" w:rsidRPr="004A51F8">
        <w:rPr>
          <w:lang w:val="fr-FR"/>
        </w:rPr>
        <w:t xml:space="preserve"> faibl</w:t>
      </w:r>
      <w:r w:rsidR="0084320D">
        <w:rPr>
          <w:lang w:val="fr-FR"/>
        </w:rPr>
        <w:t>esse</w:t>
      </w:r>
      <w:r w:rsidR="002508AF" w:rsidRPr="004A51F8">
        <w:rPr>
          <w:lang w:val="fr-FR"/>
        </w:rPr>
        <w:t xml:space="preserve"> permanent</w:t>
      </w:r>
      <w:r w:rsidR="0041466B">
        <w:rPr>
          <w:lang w:val="fr-FR"/>
        </w:rPr>
        <w:t>e</w:t>
      </w:r>
      <w:r w:rsidR="002508AF" w:rsidRPr="004A51F8">
        <w:rPr>
          <w:lang w:val="fr-FR"/>
        </w:rPr>
        <w:t xml:space="preserve"> du bras </w:t>
      </w:r>
      <w:r w:rsidR="0084320D">
        <w:rPr>
          <w:lang w:val="fr-FR"/>
        </w:rPr>
        <w:t xml:space="preserve">droit </w:t>
      </w:r>
      <w:r w:rsidR="002508AF" w:rsidRPr="004A51F8">
        <w:rPr>
          <w:lang w:val="fr-FR"/>
        </w:rPr>
        <w:t>et de la jambe droit</w:t>
      </w:r>
      <w:r w:rsidR="0084320D">
        <w:rPr>
          <w:lang w:val="fr-FR"/>
        </w:rPr>
        <w:t>e</w:t>
      </w:r>
      <w:r w:rsidR="00F30303">
        <w:rPr>
          <w:lang w:val="fr-FR"/>
        </w:rPr>
        <w:t xml:space="preserve"> (</w:t>
      </w:r>
      <w:r w:rsidR="00CD1EDB" w:rsidRPr="00AC0DAF">
        <w:rPr>
          <w:lang w:val="fr-FR"/>
        </w:rPr>
        <w:t>paragraphes 34-35 et 155</w:t>
      </w:r>
      <w:r w:rsidR="00F30303" w:rsidRPr="00AC0DAF">
        <w:rPr>
          <w:lang w:val="fr-FR"/>
        </w:rPr>
        <w:t xml:space="preserve"> ci-dessus</w:t>
      </w:r>
      <w:r w:rsidR="00F30303">
        <w:rPr>
          <w:lang w:val="fr-FR"/>
        </w:rPr>
        <w:t>)</w:t>
      </w:r>
      <w:r>
        <w:rPr>
          <w:lang w:val="fr-FR"/>
        </w:rPr>
        <w:t>. Les séquelles physiques des mauvais traitements subis par le requérant sont donc importantes.</w:t>
      </w:r>
    </w:p>
    <w:p w:rsidR="006C0C3E" w:rsidRDefault="0046552A" w:rsidP="0046552A">
      <w:pPr>
        <w:pStyle w:val="ECHRPara"/>
        <w:tabs>
          <w:tab w:val="num" w:pos="780"/>
        </w:tabs>
        <w:ind w:firstLine="360"/>
        <w:rPr>
          <w:lang w:val="fr-FR"/>
        </w:rPr>
      </w:pPr>
      <w:r>
        <w:rPr>
          <w:lang w:val="fr-FR"/>
        </w:rPr>
        <w:t>L</w:t>
      </w:r>
      <w:r w:rsidR="002508AF" w:rsidRPr="004A51F8">
        <w:rPr>
          <w:lang w:val="fr-FR"/>
        </w:rPr>
        <w:t xml:space="preserve">es </w:t>
      </w:r>
      <w:r w:rsidR="002508AF" w:rsidRPr="0046552A">
        <w:rPr>
          <w:lang w:val="fr-FR"/>
        </w:rPr>
        <w:t xml:space="preserve">sentiments de peur et </w:t>
      </w:r>
      <w:r w:rsidR="006F4D08">
        <w:rPr>
          <w:lang w:val="fr-FR"/>
        </w:rPr>
        <w:t>d</w:t>
      </w:r>
      <w:r w:rsidR="00603708">
        <w:rPr>
          <w:lang w:val="fr-FR"/>
        </w:rPr>
        <w:t>’</w:t>
      </w:r>
      <w:r w:rsidR="002508AF" w:rsidRPr="0046552A">
        <w:rPr>
          <w:lang w:val="fr-FR"/>
        </w:rPr>
        <w:t>angoisse</w:t>
      </w:r>
      <w:r w:rsidR="002508AF" w:rsidRPr="004A51F8">
        <w:rPr>
          <w:lang w:val="fr-FR"/>
        </w:rPr>
        <w:t xml:space="preserve"> suscités chez le requérant</w:t>
      </w:r>
      <w:r w:rsidR="00937F5D">
        <w:rPr>
          <w:lang w:val="fr-FR"/>
        </w:rPr>
        <w:t xml:space="preserve"> ne </w:t>
      </w:r>
      <w:r w:rsidR="00304F9C">
        <w:rPr>
          <w:lang w:val="fr-FR"/>
        </w:rPr>
        <w:t>sauraient</w:t>
      </w:r>
      <w:r w:rsidR="006F4D08">
        <w:rPr>
          <w:lang w:val="fr-FR"/>
        </w:rPr>
        <w:t xml:space="preserve">, eux non plus, </w:t>
      </w:r>
      <w:r w:rsidR="00937F5D">
        <w:rPr>
          <w:lang w:val="fr-FR"/>
        </w:rPr>
        <w:t>être</w:t>
      </w:r>
      <w:r w:rsidR="00304F9C" w:rsidRPr="00304F9C">
        <w:rPr>
          <w:lang w:val="fr-FR"/>
        </w:rPr>
        <w:t xml:space="preserve"> </w:t>
      </w:r>
      <w:r w:rsidR="00304F9C">
        <w:rPr>
          <w:lang w:val="fr-FR"/>
        </w:rPr>
        <w:t>sous-estimés</w:t>
      </w:r>
      <w:r w:rsidR="002508AF" w:rsidRPr="004A51F8">
        <w:rPr>
          <w:lang w:val="fr-FR"/>
        </w:rPr>
        <w:t xml:space="preserve">. </w:t>
      </w:r>
      <w:r w:rsidR="006F4D08">
        <w:rPr>
          <w:lang w:val="fr-FR"/>
        </w:rPr>
        <w:t>S</w:t>
      </w:r>
      <w:r w:rsidR="00603708">
        <w:rPr>
          <w:lang w:val="fr-FR"/>
        </w:rPr>
        <w:t>’</w:t>
      </w:r>
      <w:r w:rsidR="006F4D08">
        <w:rPr>
          <w:lang w:val="fr-FR"/>
        </w:rPr>
        <w:t>étant abrité</w:t>
      </w:r>
      <w:r w:rsidR="006F4D08" w:rsidRPr="004A51F8">
        <w:rPr>
          <w:lang w:val="fr-FR"/>
        </w:rPr>
        <w:t xml:space="preserve"> </w:t>
      </w:r>
      <w:r w:rsidR="002508AF" w:rsidRPr="004A51F8">
        <w:rPr>
          <w:lang w:val="fr-FR"/>
        </w:rPr>
        <w:t xml:space="preserve">dans un asile de nuit, le requérant a été réveillé par le bruit </w:t>
      </w:r>
      <w:r w:rsidR="00AF1B6A">
        <w:rPr>
          <w:lang w:val="fr-FR"/>
        </w:rPr>
        <w:t>causé par</w:t>
      </w:r>
      <w:r w:rsidR="00AF1B6A" w:rsidRPr="004A51F8">
        <w:rPr>
          <w:lang w:val="fr-FR"/>
        </w:rPr>
        <w:t xml:space="preserve"> </w:t>
      </w:r>
      <w:r w:rsidR="002508AF" w:rsidRPr="004A51F8">
        <w:rPr>
          <w:lang w:val="fr-FR"/>
        </w:rPr>
        <w:t>l</w:t>
      </w:r>
      <w:r w:rsidR="00603708">
        <w:rPr>
          <w:lang w:val="fr-FR"/>
        </w:rPr>
        <w:t>’</w:t>
      </w:r>
      <w:r w:rsidR="002508AF" w:rsidRPr="004A51F8">
        <w:rPr>
          <w:lang w:val="fr-FR"/>
        </w:rPr>
        <w:t xml:space="preserve">irruption de la police. </w:t>
      </w:r>
      <w:r w:rsidR="00304F9C">
        <w:rPr>
          <w:lang w:val="fr-FR"/>
        </w:rPr>
        <w:t>En plus</w:t>
      </w:r>
      <w:r w:rsidR="002508AF" w:rsidRPr="004A51F8">
        <w:rPr>
          <w:lang w:val="fr-FR"/>
        </w:rPr>
        <w:t xml:space="preserve"> des coups subis, il a vu plusieurs agents des forces de l</w:t>
      </w:r>
      <w:r w:rsidR="00603708">
        <w:rPr>
          <w:lang w:val="fr-FR"/>
        </w:rPr>
        <w:t>’</w:t>
      </w:r>
      <w:r w:rsidR="002508AF" w:rsidRPr="004A51F8">
        <w:rPr>
          <w:lang w:val="fr-FR"/>
        </w:rPr>
        <w:t>ordre frapper d</w:t>
      </w:r>
      <w:r w:rsidR="00603708">
        <w:rPr>
          <w:lang w:val="fr-FR"/>
        </w:rPr>
        <w:t>’</w:t>
      </w:r>
      <w:r w:rsidR="002508AF" w:rsidRPr="004A51F8">
        <w:rPr>
          <w:lang w:val="fr-FR"/>
        </w:rPr>
        <w:t>autres occupant</w:t>
      </w:r>
      <w:r w:rsidR="00937F5D">
        <w:rPr>
          <w:lang w:val="fr-FR"/>
        </w:rPr>
        <w:t>s sans aucune raison apparente.</w:t>
      </w:r>
    </w:p>
    <w:p w:rsidR="0032468C" w:rsidRDefault="00937F5D" w:rsidP="002577E9">
      <w:pPr>
        <w:pStyle w:val="ECHRPara"/>
        <w:tabs>
          <w:tab w:val="num" w:pos="780"/>
        </w:tabs>
        <w:ind w:firstLine="360"/>
        <w:rPr>
          <w:lang w:val="fr-FR"/>
        </w:rPr>
      </w:pPr>
      <w:r>
        <w:rPr>
          <w:lang w:val="fr-FR"/>
        </w:rPr>
        <w:t xml:space="preserve">Dans ce </w:t>
      </w:r>
      <w:r w:rsidR="00304F9C">
        <w:rPr>
          <w:lang w:val="fr-FR"/>
        </w:rPr>
        <w:t>contexte</w:t>
      </w:r>
      <w:r>
        <w:rPr>
          <w:lang w:val="fr-FR"/>
        </w:rPr>
        <w:t>,</w:t>
      </w:r>
      <w:r w:rsidR="00286BF6">
        <w:rPr>
          <w:lang w:val="fr-FR"/>
        </w:rPr>
        <w:t xml:space="preserve"> il convient également de </w:t>
      </w:r>
      <w:r w:rsidR="00AF1B6A">
        <w:rPr>
          <w:lang w:val="fr-FR"/>
        </w:rPr>
        <w:t>rappeler les conclusions auxquelles sont parvenues les juridictions internes</w:t>
      </w:r>
      <w:r w:rsidR="00286BF6">
        <w:rPr>
          <w:lang w:val="fr-FR"/>
        </w:rPr>
        <w:t xml:space="preserve"> dans le cadre de la procédure pénale</w:t>
      </w:r>
      <w:r w:rsidR="00AF1B6A">
        <w:rPr>
          <w:lang w:val="fr-FR"/>
        </w:rPr>
        <w:t xml:space="preserve"> et </w:t>
      </w:r>
      <w:r w:rsidR="00286BF6">
        <w:rPr>
          <w:lang w:val="fr-FR"/>
        </w:rPr>
        <w:t>auxque</w:t>
      </w:r>
      <w:r w:rsidR="00AF1B6A">
        <w:rPr>
          <w:lang w:val="fr-FR"/>
        </w:rPr>
        <w:t>lle</w:t>
      </w:r>
      <w:r w:rsidR="00286BF6">
        <w:rPr>
          <w:lang w:val="fr-FR"/>
        </w:rPr>
        <w:t>s le Gouvernement a déclaré</w:t>
      </w:r>
      <w:r>
        <w:rPr>
          <w:lang w:val="fr-FR"/>
        </w:rPr>
        <w:t xml:space="preserve"> souscrire</w:t>
      </w:r>
      <w:r w:rsidR="00304F9C">
        <w:rPr>
          <w:lang w:val="fr-FR"/>
        </w:rPr>
        <w:t xml:space="preserve"> en général</w:t>
      </w:r>
      <w:r>
        <w:rPr>
          <w:lang w:val="fr-FR"/>
        </w:rPr>
        <w:t> :</w:t>
      </w:r>
      <w:r w:rsidR="00286BF6">
        <w:rPr>
          <w:lang w:val="fr-FR"/>
        </w:rPr>
        <w:t xml:space="preserve"> </w:t>
      </w:r>
      <w:r>
        <w:rPr>
          <w:lang w:val="fr-FR"/>
        </w:rPr>
        <w:t>s</w:t>
      </w:r>
      <w:r w:rsidR="00286BF6">
        <w:rPr>
          <w:lang w:val="fr-FR"/>
        </w:rPr>
        <w:t xml:space="preserve">elon </w:t>
      </w:r>
      <w:r w:rsidR="00286BF6" w:rsidRPr="004A51F8">
        <w:rPr>
          <w:lang w:val="fr-FR"/>
        </w:rPr>
        <w:t>le jugement de première instance</w:t>
      </w:r>
      <w:r w:rsidR="00286BF6">
        <w:rPr>
          <w:lang w:val="fr-FR"/>
        </w:rPr>
        <w:t>,</w:t>
      </w:r>
      <w:r w:rsidR="00286BF6" w:rsidRPr="004A51F8">
        <w:rPr>
          <w:lang w:val="fr-FR"/>
        </w:rPr>
        <w:t xml:space="preserve"> la conduite de la police à l</w:t>
      </w:r>
      <w:r w:rsidR="00603708">
        <w:rPr>
          <w:lang w:val="fr-FR"/>
        </w:rPr>
        <w:t>’</w:t>
      </w:r>
      <w:r w:rsidR="00286BF6" w:rsidRPr="004A51F8">
        <w:rPr>
          <w:lang w:val="fr-FR"/>
        </w:rPr>
        <w:t>intérieur de l</w:t>
      </w:r>
      <w:r w:rsidR="00603708">
        <w:rPr>
          <w:lang w:val="fr-FR"/>
        </w:rPr>
        <w:t>’</w:t>
      </w:r>
      <w:r w:rsidR="00286BF6" w:rsidRPr="004A51F8">
        <w:rPr>
          <w:lang w:val="fr-FR"/>
        </w:rPr>
        <w:t>école Diaz-Pertini a constitué une violation claire à la fois de la loi, « de la dignité</w:t>
      </w:r>
      <w:r w:rsidR="00286BF6">
        <w:rPr>
          <w:lang w:val="fr-FR"/>
        </w:rPr>
        <w:t xml:space="preserve"> humaine et du respect de la </w:t>
      </w:r>
      <w:r w:rsidR="00286BF6" w:rsidRPr="004A51F8">
        <w:rPr>
          <w:lang w:val="fr-FR"/>
        </w:rPr>
        <w:t>personne »</w:t>
      </w:r>
      <w:r w:rsidR="00BD3E3E">
        <w:rPr>
          <w:lang w:val="fr-FR"/>
        </w:rPr>
        <w:t xml:space="preserve"> (</w:t>
      </w:r>
      <w:r w:rsidR="002577E9" w:rsidRPr="00AC0DAF">
        <w:rPr>
          <w:lang w:val="fr-FR"/>
        </w:rPr>
        <w:t>paragraphe 51</w:t>
      </w:r>
      <w:r w:rsidR="00BD3E3E" w:rsidRPr="00AC0DAF">
        <w:rPr>
          <w:lang w:val="fr-FR"/>
        </w:rPr>
        <w:t xml:space="preserve"> ci-dessus</w:t>
      </w:r>
      <w:r w:rsidR="00BD3E3E">
        <w:rPr>
          <w:lang w:val="fr-FR"/>
        </w:rPr>
        <w:t>)</w:t>
      </w:r>
      <w:r>
        <w:rPr>
          <w:lang w:val="fr-FR"/>
        </w:rPr>
        <w:t> ;</w:t>
      </w:r>
      <w:r w:rsidR="00286BF6" w:rsidRPr="004A51F8">
        <w:rPr>
          <w:lang w:val="fr-FR"/>
        </w:rPr>
        <w:t xml:space="preserve"> </w:t>
      </w:r>
      <w:r>
        <w:rPr>
          <w:lang w:val="fr-FR"/>
        </w:rPr>
        <w:t>d</w:t>
      </w:r>
      <w:r w:rsidR="00603708">
        <w:rPr>
          <w:lang w:val="fr-FR"/>
        </w:rPr>
        <w:t>’</w:t>
      </w:r>
      <w:r w:rsidR="00286BF6" w:rsidRPr="004A51F8">
        <w:rPr>
          <w:lang w:val="fr-FR"/>
        </w:rPr>
        <w:t xml:space="preserve">après </w:t>
      </w:r>
      <w:r w:rsidR="007847E8">
        <w:rPr>
          <w:lang w:val="fr-FR"/>
        </w:rPr>
        <w:t>l</w:t>
      </w:r>
      <w:r w:rsidR="00603708">
        <w:rPr>
          <w:lang w:val="fr-FR"/>
        </w:rPr>
        <w:t>’</w:t>
      </w:r>
      <w:r w:rsidR="007847E8">
        <w:rPr>
          <w:lang w:val="fr-FR"/>
        </w:rPr>
        <w:t>arrêt d</w:t>
      </w:r>
      <w:r w:rsidR="00603708">
        <w:rPr>
          <w:lang w:val="fr-FR"/>
        </w:rPr>
        <w:t>’</w:t>
      </w:r>
      <w:r w:rsidR="007847E8">
        <w:rPr>
          <w:lang w:val="fr-FR"/>
        </w:rPr>
        <w:t>appel</w:t>
      </w:r>
      <w:r w:rsidR="00286BF6" w:rsidRPr="004A51F8">
        <w:rPr>
          <w:lang w:val="fr-FR"/>
        </w:rPr>
        <w:t xml:space="preserve">, les agents ont </w:t>
      </w:r>
      <w:r w:rsidR="009747C9">
        <w:rPr>
          <w:lang w:val="fr-FR"/>
        </w:rPr>
        <w:t>frappé</w:t>
      </w:r>
      <w:r w:rsidR="009747C9" w:rsidRPr="004A51F8">
        <w:rPr>
          <w:lang w:val="fr-FR"/>
        </w:rPr>
        <w:t xml:space="preserve"> </w:t>
      </w:r>
      <w:r w:rsidR="00286BF6" w:rsidRPr="004A51F8">
        <w:rPr>
          <w:lang w:val="fr-FR"/>
        </w:rPr>
        <w:t>systématiquement les occupants d</w:t>
      </w:r>
      <w:r w:rsidR="00603708">
        <w:rPr>
          <w:lang w:val="fr-FR"/>
        </w:rPr>
        <w:t>’</w:t>
      </w:r>
      <w:r w:rsidR="00286BF6" w:rsidRPr="004A51F8">
        <w:rPr>
          <w:lang w:val="fr-FR"/>
        </w:rPr>
        <w:t>une façon cruelle et sadique, agissant comme de</w:t>
      </w:r>
      <w:r w:rsidR="006F4D08">
        <w:rPr>
          <w:lang w:val="fr-FR"/>
        </w:rPr>
        <w:t>s</w:t>
      </w:r>
      <w:r w:rsidR="00286BF6" w:rsidRPr="004A51F8">
        <w:rPr>
          <w:lang w:val="fr-FR"/>
        </w:rPr>
        <w:t xml:space="preserve"> « matraqueurs violents » (</w:t>
      </w:r>
      <w:r w:rsidR="00BD3E3E" w:rsidRPr="00AC0DAF">
        <w:rPr>
          <w:lang w:val="fr-FR"/>
        </w:rPr>
        <w:t>paragraphes</w:t>
      </w:r>
      <w:r w:rsidR="00CD1EDB" w:rsidRPr="00AC0DAF">
        <w:rPr>
          <w:lang w:val="fr-FR"/>
        </w:rPr>
        <w:t xml:space="preserve"> 67 et 73</w:t>
      </w:r>
      <w:r w:rsidR="00286BF6" w:rsidRPr="00AC0DAF">
        <w:rPr>
          <w:lang w:val="fr-FR"/>
        </w:rPr>
        <w:t xml:space="preserve"> ci-dessus</w:t>
      </w:r>
      <w:r>
        <w:rPr>
          <w:lang w:val="fr-FR"/>
        </w:rPr>
        <w:t>) ;</w:t>
      </w:r>
      <w:r w:rsidR="00286BF6" w:rsidRPr="004A51F8">
        <w:rPr>
          <w:lang w:val="fr-FR"/>
        </w:rPr>
        <w:t xml:space="preserve"> </w:t>
      </w:r>
      <w:r>
        <w:rPr>
          <w:lang w:val="fr-FR"/>
        </w:rPr>
        <w:t>l</w:t>
      </w:r>
      <w:r w:rsidR="00286BF6" w:rsidRPr="004A51F8">
        <w:rPr>
          <w:lang w:val="fr-FR"/>
        </w:rPr>
        <w:t>a Cour de cassation parle de violences «</w:t>
      </w:r>
      <w:r w:rsidR="006F4D08">
        <w:rPr>
          <w:lang w:val="fr-FR"/>
        </w:rPr>
        <w:t> </w:t>
      </w:r>
      <w:r w:rsidR="00286BF6" w:rsidRPr="004A51F8">
        <w:rPr>
          <w:lang w:val="fr-FR"/>
        </w:rPr>
        <w:t>d</w:t>
      </w:r>
      <w:r w:rsidR="00603708">
        <w:rPr>
          <w:lang w:val="fr-FR"/>
        </w:rPr>
        <w:t>’</w:t>
      </w:r>
      <w:r w:rsidR="00286BF6" w:rsidRPr="004A51F8">
        <w:rPr>
          <w:lang w:val="fr-FR"/>
        </w:rPr>
        <w:t>une gravité inhabituelle</w:t>
      </w:r>
      <w:r w:rsidR="006F4D08">
        <w:rPr>
          <w:lang w:val="fr-FR"/>
        </w:rPr>
        <w:t> </w:t>
      </w:r>
      <w:r w:rsidR="00286BF6" w:rsidRPr="004A51F8">
        <w:rPr>
          <w:lang w:val="fr-FR"/>
        </w:rPr>
        <w:t>» et «</w:t>
      </w:r>
      <w:r w:rsidR="006F4D08">
        <w:rPr>
          <w:lang w:val="fr-FR"/>
        </w:rPr>
        <w:t> </w:t>
      </w:r>
      <w:r w:rsidR="00286BF6" w:rsidRPr="004A51F8">
        <w:rPr>
          <w:lang w:val="fr-FR"/>
        </w:rPr>
        <w:t>absolue</w:t>
      </w:r>
      <w:r w:rsidR="006F4D08">
        <w:rPr>
          <w:lang w:val="fr-FR"/>
        </w:rPr>
        <w:t> </w:t>
      </w:r>
      <w:r w:rsidR="00286BF6" w:rsidRPr="004A51F8">
        <w:rPr>
          <w:lang w:val="fr-FR"/>
        </w:rPr>
        <w:t>» (</w:t>
      </w:r>
      <w:r w:rsidR="00CD1EDB" w:rsidRPr="00AC0DAF">
        <w:rPr>
          <w:lang w:val="fr-FR"/>
        </w:rPr>
        <w:t>paragraphe 77</w:t>
      </w:r>
      <w:r w:rsidR="00286BF6" w:rsidRPr="00AC0DAF">
        <w:rPr>
          <w:lang w:val="fr-FR"/>
        </w:rPr>
        <w:t xml:space="preserve"> </w:t>
      </w:r>
      <w:r w:rsidR="00CF4215">
        <w:rPr>
          <w:lang w:val="fr-FR"/>
        </w:rPr>
        <w:t>ci-dessus</w:t>
      </w:r>
      <w:r w:rsidR="00286BF6" w:rsidRPr="004A51F8">
        <w:rPr>
          <w:lang w:val="fr-FR"/>
        </w:rPr>
        <w:t>)</w:t>
      </w:r>
      <w:r w:rsidR="00F30303">
        <w:rPr>
          <w:lang w:val="fr-FR"/>
        </w:rPr>
        <w:t>.</w:t>
      </w:r>
    </w:p>
    <w:p w:rsidR="00F30303" w:rsidRPr="002577E9" w:rsidRDefault="00F30303" w:rsidP="002577E9">
      <w:pPr>
        <w:pStyle w:val="ECHRPara"/>
        <w:tabs>
          <w:tab w:val="num" w:pos="780"/>
        </w:tabs>
        <w:ind w:firstLine="360"/>
        <w:rPr>
          <w:highlight w:val="yellow"/>
          <w:lang w:val="fr-FR"/>
        </w:rPr>
      </w:pPr>
      <w:r>
        <w:rPr>
          <w:lang w:val="fr-FR"/>
        </w:rPr>
        <w:t>Dans ses observations</w:t>
      </w:r>
      <w:r w:rsidR="00304F9C">
        <w:rPr>
          <w:lang w:val="fr-FR"/>
        </w:rPr>
        <w:t xml:space="preserve"> devant la Cour, </w:t>
      </w:r>
      <w:r>
        <w:rPr>
          <w:lang w:val="fr-FR"/>
        </w:rPr>
        <w:t xml:space="preserve">le Gouvernement </w:t>
      </w:r>
      <w:r w:rsidR="009747C9">
        <w:rPr>
          <w:lang w:val="fr-FR"/>
        </w:rPr>
        <w:t xml:space="preserve">lui-même </w:t>
      </w:r>
      <w:r w:rsidR="00BD3E3E">
        <w:rPr>
          <w:lang w:val="fr-FR"/>
        </w:rPr>
        <w:t xml:space="preserve">a </w:t>
      </w:r>
      <w:r>
        <w:rPr>
          <w:lang w:val="fr-FR"/>
        </w:rPr>
        <w:t>qualifi</w:t>
      </w:r>
      <w:r w:rsidR="00BD3E3E">
        <w:rPr>
          <w:lang w:val="fr-FR"/>
        </w:rPr>
        <w:t>é</w:t>
      </w:r>
      <w:r>
        <w:rPr>
          <w:lang w:val="fr-FR"/>
        </w:rPr>
        <w:t xml:space="preserve"> les agissements de la police dans l</w:t>
      </w:r>
      <w:r w:rsidR="00603708">
        <w:rPr>
          <w:lang w:val="fr-FR"/>
        </w:rPr>
        <w:t>’</w:t>
      </w:r>
      <w:r>
        <w:rPr>
          <w:lang w:val="fr-FR"/>
        </w:rPr>
        <w:t>école Diaz-Pertini d</w:t>
      </w:r>
      <w:r w:rsidR="00603708">
        <w:rPr>
          <w:lang w:val="fr-FR"/>
        </w:rPr>
        <w:t>’</w:t>
      </w:r>
      <w:r>
        <w:rPr>
          <w:lang w:val="fr-FR"/>
        </w:rPr>
        <w:t>actes « très graves et déplorables ».</w:t>
      </w:r>
    </w:p>
    <w:p w:rsidR="0032468C" w:rsidRDefault="0055492C" w:rsidP="002508AF">
      <w:pPr>
        <w:pStyle w:val="ECHRPara"/>
        <w:tabs>
          <w:tab w:val="num" w:pos="780"/>
        </w:tabs>
        <w:ind w:firstLine="360"/>
        <w:rPr>
          <w:spacing w:val="-2"/>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179</w:t>
      </w:r>
      <w:r>
        <w:rPr>
          <w:lang w:val="fr-FR"/>
        </w:rPr>
        <w:fldChar w:fldCharType="end"/>
      </w:r>
      <w:r>
        <w:rPr>
          <w:lang w:val="fr-FR"/>
        </w:rPr>
        <w:t xml:space="preserve">.  En somme, on ne saurait nier que les </w:t>
      </w:r>
      <w:r w:rsidR="006C0C3E" w:rsidRPr="004A51F8">
        <w:rPr>
          <w:lang w:val="fr-FR"/>
        </w:rPr>
        <w:t xml:space="preserve">mauvais traitements </w:t>
      </w:r>
      <w:r>
        <w:rPr>
          <w:lang w:val="fr-FR"/>
        </w:rPr>
        <w:t>commis à l</w:t>
      </w:r>
      <w:r w:rsidR="00603708">
        <w:rPr>
          <w:lang w:val="fr-FR"/>
        </w:rPr>
        <w:t>’</w:t>
      </w:r>
      <w:r>
        <w:rPr>
          <w:lang w:val="fr-FR"/>
        </w:rPr>
        <w:t>égard du requérant ont « </w:t>
      </w:r>
      <w:r w:rsidR="006C0C3E" w:rsidRPr="004A51F8">
        <w:rPr>
          <w:spacing w:val="-2"/>
          <w:lang w:val="fr-FR"/>
        </w:rPr>
        <w:t>provoqué des douleurs et des souff</w:t>
      </w:r>
      <w:r>
        <w:rPr>
          <w:spacing w:val="-2"/>
          <w:lang w:val="fr-FR"/>
        </w:rPr>
        <w:t xml:space="preserve">rances aiguës » et </w:t>
      </w:r>
      <w:r w:rsidR="006F4D08">
        <w:rPr>
          <w:spacing w:val="-2"/>
          <w:lang w:val="fr-FR"/>
        </w:rPr>
        <w:t>qu</w:t>
      </w:r>
      <w:r w:rsidR="00603708">
        <w:rPr>
          <w:spacing w:val="-2"/>
          <w:lang w:val="fr-FR"/>
        </w:rPr>
        <w:t>’</w:t>
      </w:r>
      <w:r w:rsidR="006F4D08">
        <w:rPr>
          <w:spacing w:val="-2"/>
          <w:lang w:val="fr-FR"/>
        </w:rPr>
        <w:t xml:space="preserve">ils </w:t>
      </w:r>
      <w:r>
        <w:rPr>
          <w:spacing w:val="-2"/>
          <w:lang w:val="fr-FR"/>
        </w:rPr>
        <w:t>revêtaient « </w:t>
      </w:r>
      <w:r w:rsidR="006C0C3E" w:rsidRPr="004A51F8">
        <w:rPr>
          <w:spacing w:val="-2"/>
          <w:lang w:val="fr-FR"/>
        </w:rPr>
        <w:t>un caractère particuliè</w:t>
      </w:r>
      <w:r>
        <w:rPr>
          <w:spacing w:val="-2"/>
          <w:lang w:val="fr-FR"/>
        </w:rPr>
        <w:t>rement grave et cruel » (</w:t>
      </w:r>
      <w:r w:rsidRPr="00AC0DAF">
        <w:rPr>
          <w:i/>
          <w:lang w:val="fr-FR"/>
        </w:rPr>
        <w:t>Selmouni</w:t>
      </w:r>
      <w:r w:rsidRPr="00AC0DAF">
        <w:rPr>
          <w:lang w:val="fr-FR"/>
        </w:rPr>
        <w:t>, précité, § 105</w:t>
      </w:r>
      <w:r w:rsidR="006F4D08">
        <w:rPr>
          <w:lang w:val="fr-FR"/>
        </w:rPr>
        <w:t>, et</w:t>
      </w:r>
      <w:r w:rsidRPr="00AC0DAF">
        <w:rPr>
          <w:lang w:val="fr-FR"/>
        </w:rPr>
        <w:t xml:space="preserve"> </w:t>
      </w:r>
      <w:r w:rsidRPr="00AC0DAF">
        <w:rPr>
          <w:i/>
          <w:lang w:val="fr-FR"/>
        </w:rPr>
        <w:t>Erdal Aslan</w:t>
      </w:r>
      <w:r w:rsidRPr="00AC0DAF">
        <w:rPr>
          <w:lang w:val="fr-FR"/>
        </w:rPr>
        <w:t xml:space="preserve">, </w:t>
      </w:r>
      <w:r w:rsidRPr="00AC0DAF">
        <w:rPr>
          <w:noProof/>
          <w:lang w:val="fr-FR"/>
        </w:rPr>
        <w:t>précité</w:t>
      </w:r>
      <w:r w:rsidRPr="00AC0DAF">
        <w:rPr>
          <w:szCs w:val="24"/>
          <w:lang w:val="fr-FR" w:eastAsia="en-GB"/>
        </w:rPr>
        <w:t>, § 73</w:t>
      </w:r>
      <w:r>
        <w:rPr>
          <w:lang w:val="fr-FR"/>
        </w:rPr>
        <w:t>).</w:t>
      </w:r>
    </w:p>
    <w:p w:rsidR="000B1C19" w:rsidRDefault="0055492C" w:rsidP="002508AF">
      <w:pPr>
        <w:pStyle w:val="ECHRPara"/>
        <w:tabs>
          <w:tab w:val="num" w:pos="780"/>
        </w:tabs>
        <w:ind w:firstLine="360"/>
        <w:rPr>
          <w:lang w:val="fr-FR"/>
        </w:rPr>
      </w:pPr>
      <w:r w:rsidRPr="0055492C">
        <w:rPr>
          <w:lang w:val="fr-FR"/>
        </w:rPr>
        <w:fldChar w:fldCharType="begin"/>
      </w:r>
      <w:r w:rsidRPr="0055492C">
        <w:rPr>
          <w:lang w:val="fr-FR"/>
        </w:rPr>
        <w:instrText xml:space="preserve"> SEQ level0 \*arabic </w:instrText>
      </w:r>
      <w:r w:rsidRPr="0055492C">
        <w:rPr>
          <w:lang w:val="fr-FR"/>
        </w:rPr>
        <w:fldChar w:fldCharType="separate"/>
      </w:r>
      <w:r w:rsidR="00B378F9">
        <w:rPr>
          <w:noProof/>
          <w:lang w:val="fr-FR"/>
        </w:rPr>
        <w:t>180</w:t>
      </w:r>
      <w:r w:rsidRPr="0055492C">
        <w:rPr>
          <w:lang w:val="fr-FR"/>
        </w:rPr>
        <w:fldChar w:fldCharType="end"/>
      </w:r>
      <w:r w:rsidRPr="0055492C">
        <w:rPr>
          <w:lang w:val="fr-FR"/>
        </w:rPr>
        <w:t>.  </w:t>
      </w:r>
      <w:r w:rsidR="000B1C19">
        <w:rPr>
          <w:lang w:val="fr-FR"/>
        </w:rPr>
        <w:t>La Cour note également l</w:t>
      </w:r>
      <w:r w:rsidR="00603708">
        <w:rPr>
          <w:lang w:val="fr-FR"/>
        </w:rPr>
        <w:t>’</w:t>
      </w:r>
      <w:r w:rsidR="002508AF" w:rsidRPr="0055492C">
        <w:rPr>
          <w:lang w:val="fr-FR"/>
        </w:rPr>
        <w:t xml:space="preserve">absence de tout lien de </w:t>
      </w:r>
      <w:r>
        <w:rPr>
          <w:lang w:val="fr-FR"/>
        </w:rPr>
        <w:t>causalité</w:t>
      </w:r>
      <w:r w:rsidR="002508AF" w:rsidRPr="0055492C">
        <w:rPr>
          <w:lang w:val="fr-FR"/>
        </w:rPr>
        <w:t xml:space="preserve"> entre </w:t>
      </w:r>
      <w:r w:rsidR="000B1C19">
        <w:rPr>
          <w:lang w:val="fr-FR"/>
        </w:rPr>
        <w:t xml:space="preserve">la </w:t>
      </w:r>
      <w:r w:rsidR="002508AF" w:rsidRPr="0055492C">
        <w:rPr>
          <w:lang w:val="fr-FR"/>
        </w:rPr>
        <w:t xml:space="preserve">conduite du requérant et </w:t>
      </w:r>
      <w:r w:rsidR="000B1C19">
        <w:rPr>
          <w:lang w:val="fr-FR"/>
        </w:rPr>
        <w:t>l</w:t>
      </w:r>
      <w:r w:rsidR="00603708">
        <w:rPr>
          <w:lang w:val="fr-FR"/>
        </w:rPr>
        <w:t>’</w:t>
      </w:r>
      <w:r>
        <w:rPr>
          <w:lang w:val="fr-FR"/>
        </w:rPr>
        <w:t>utilisation de la force</w:t>
      </w:r>
      <w:r w:rsidR="000B1C19">
        <w:rPr>
          <w:lang w:val="fr-FR"/>
        </w:rPr>
        <w:t xml:space="preserve"> par</w:t>
      </w:r>
      <w:r w:rsidR="006F4D08">
        <w:rPr>
          <w:lang w:val="fr-FR"/>
        </w:rPr>
        <w:t xml:space="preserve"> l</w:t>
      </w:r>
      <w:r w:rsidR="000B1C19">
        <w:rPr>
          <w:lang w:val="fr-FR"/>
        </w:rPr>
        <w:t>es agents de police</w:t>
      </w:r>
      <w:r w:rsidR="002508AF" w:rsidRPr="0055492C">
        <w:rPr>
          <w:lang w:val="fr-FR"/>
        </w:rPr>
        <w:t>.</w:t>
      </w:r>
    </w:p>
    <w:p w:rsidR="0032468C" w:rsidRDefault="000B1C19" w:rsidP="002508AF">
      <w:pPr>
        <w:pStyle w:val="ECHRPara"/>
        <w:tabs>
          <w:tab w:val="num" w:pos="780"/>
        </w:tabs>
        <w:ind w:firstLine="360"/>
        <w:rPr>
          <w:lang w:val="fr-FR"/>
        </w:rPr>
      </w:pPr>
      <w:r w:rsidRPr="004A0F2F">
        <w:rPr>
          <w:lang w:val="fr-FR"/>
        </w:rPr>
        <w:t>En effet, l</w:t>
      </w:r>
      <w:r w:rsidR="002508AF" w:rsidRPr="004A0F2F">
        <w:rPr>
          <w:lang w:val="fr-FR"/>
        </w:rPr>
        <w:t>e jugement de première instance</w:t>
      </w:r>
      <w:r w:rsidR="00765917" w:rsidRPr="004A0F2F">
        <w:rPr>
          <w:lang w:val="fr-FR"/>
        </w:rPr>
        <w:t xml:space="preserve">, tout en admettant </w:t>
      </w:r>
      <w:r w:rsidR="000D5CDD">
        <w:rPr>
          <w:lang w:val="fr-FR"/>
        </w:rPr>
        <w:t>que quelques actes de résistance isolés</w:t>
      </w:r>
      <w:r w:rsidR="004A0F2F" w:rsidRPr="004A0F2F">
        <w:rPr>
          <w:lang w:val="fr-FR"/>
        </w:rPr>
        <w:t xml:space="preserve"> avai</w:t>
      </w:r>
      <w:r w:rsidR="000D5CDD">
        <w:rPr>
          <w:lang w:val="fr-FR"/>
        </w:rPr>
        <w:t>en</w:t>
      </w:r>
      <w:r w:rsidR="004A0F2F" w:rsidRPr="004A0F2F">
        <w:rPr>
          <w:lang w:val="fr-FR"/>
        </w:rPr>
        <w:t>t vraisemblablement</w:t>
      </w:r>
      <w:r w:rsidR="00DC73A4" w:rsidRPr="004A0F2F">
        <w:rPr>
          <w:lang w:val="fr-FR"/>
        </w:rPr>
        <w:t xml:space="preserve"> </w:t>
      </w:r>
      <w:r w:rsidR="000D5CDD">
        <w:rPr>
          <w:lang w:val="fr-FR"/>
        </w:rPr>
        <w:t xml:space="preserve">été commis par </w:t>
      </w:r>
      <w:r w:rsidR="00922553">
        <w:rPr>
          <w:lang w:val="fr-FR"/>
        </w:rPr>
        <w:t>d</w:t>
      </w:r>
      <w:r w:rsidR="000D5CDD">
        <w:rPr>
          <w:lang w:val="fr-FR"/>
        </w:rPr>
        <w:t xml:space="preserve">es </w:t>
      </w:r>
      <w:r w:rsidR="00DC73A4" w:rsidRPr="004A0F2F">
        <w:rPr>
          <w:lang w:val="fr-FR"/>
        </w:rPr>
        <w:t>occupants</w:t>
      </w:r>
      <w:r w:rsidR="001104A2" w:rsidRPr="004A0F2F">
        <w:rPr>
          <w:lang w:val="fr-FR"/>
        </w:rPr>
        <w:t xml:space="preserve"> de</w:t>
      </w:r>
      <w:r w:rsidR="0032468C" w:rsidRPr="004A0F2F">
        <w:rPr>
          <w:lang w:val="fr-FR"/>
        </w:rPr>
        <w:t xml:space="preserve"> </w:t>
      </w:r>
      <w:r w:rsidR="001104A2" w:rsidRPr="004A0F2F">
        <w:rPr>
          <w:lang w:val="fr-FR"/>
        </w:rPr>
        <w:t>l</w:t>
      </w:r>
      <w:r w:rsidR="00603708">
        <w:rPr>
          <w:lang w:val="fr-FR"/>
        </w:rPr>
        <w:t>’</w:t>
      </w:r>
      <w:r w:rsidR="001104A2" w:rsidRPr="004A0F2F">
        <w:rPr>
          <w:lang w:val="fr-FR"/>
        </w:rPr>
        <w:t>école Diaz-Pertini</w:t>
      </w:r>
      <w:r w:rsidR="00DC73A4" w:rsidRPr="004A0F2F">
        <w:rPr>
          <w:lang w:val="fr-FR"/>
        </w:rPr>
        <w:t>,</w:t>
      </w:r>
      <w:r w:rsidR="002508AF" w:rsidRPr="004A0F2F">
        <w:rPr>
          <w:lang w:val="fr-FR"/>
        </w:rPr>
        <w:t xml:space="preserve"> </w:t>
      </w:r>
      <w:r w:rsidR="00922553">
        <w:rPr>
          <w:lang w:val="fr-FR"/>
        </w:rPr>
        <w:t>évoque</w:t>
      </w:r>
      <w:r w:rsidR="002508AF" w:rsidRPr="004A0F2F">
        <w:rPr>
          <w:lang w:val="fr-FR"/>
        </w:rPr>
        <w:t xml:space="preserve"> le cas du requérant</w:t>
      </w:r>
      <w:r w:rsidR="006B1BBA" w:rsidRPr="004A0F2F">
        <w:rPr>
          <w:lang w:val="fr-FR"/>
        </w:rPr>
        <w:t xml:space="preserve"> – qui avait déjà un certain âge en</w:t>
      </w:r>
      <w:r w:rsidRPr="004A0F2F">
        <w:rPr>
          <w:lang w:val="fr-FR"/>
        </w:rPr>
        <w:t xml:space="preserve"> juillet 2001</w:t>
      </w:r>
      <w:r w:rsidR="006B1BBA" w:rsidRPr="004A0F2F">
        <w:rPr>
          <w:lang w:val="fr-FR"/>
        </w:rPr>
        <w:t xml:space="preserve"> –</w:t>
      </w:r>
      <w:r w:rsidR="002508AF" w:rsidRPr="004A0F2F">
        <w:rPr>
          <w:lang w:val="fr-FR"/>
        </w:rPr>
        <w:t xml:space="preserve"> pour souligner le caractère </w:t>
      </w:r>
      <w:r w:rsidRPr="004A0F2F">
        <w:rPr>
          <w:lang w:val="fr-FR"/>
        </w:rPr>
        <w:t xml:space="preserve">absolument </w:t>
      </w:r>
      <w:r w:rsidR="002508AF" w:rsidRPr="004A0F2F">
        <w:rPr>
          <w:lang w:val="fr-FR"/>
        </w:rPr>
        <w:t>disproportionné</w:t>
      </w:r>
      <w:r w:rsidR="00DC73A4" w:rsidRPr="004A0F2F">
        <w:rPr>
          <w:lang w:val="fr-FR"/>
        </w:rPr>
        <w:t xml:space="preserve"> entre </w:t>
      </w:r>
      <w:r w:rsidR="006B1BBA" w:rsidRPr="004A0F2F">
        <w:rPr>
          <w:lang w:val="fr-FR"/>
        </w:rPr>
        <w:t xml:space="preserve">la </w:t>
      </w:r>
      <w:r w:rsidR="00DC73A4" w:rsidRPr="004A0F2F">
        <w:rPr>
          <w:lang w:val="fr-FR"/>
        </w:rPr>
        <w:t xml:space="preserve">violence de la police et </w:t>
      </w:r>
      <w:r w:rsidR="006B1BBA" w:rsidRPr="004A0F2F">
        <w:rPr>
          <w:lang w:val="fr-FR"/>
        </w:rPr>
        <w:t xml:space="preserve">les </w:t>
      </w:r>
      <w:r w:rsidR="00DC73A4" w:rsidRPr="004A0F2F">
        <w:rPr>
          <w:lang w:val="fr-FR"/>
        </w:rPr>
        <w:t>actes de</w:t>
      </w:r>
      <w:r w:rsidR="002508AF" w:rsidRPr="004A0F2F">
        <w:rPr>
          <w:lang w:val="fr-FR"/>
        </w:rPr>
        <w:t xml:space="preserve"> résistance</w:t>
      </w:r>
      <w:r w:rsidR="00765917" w:rsidRPr="004A0F2F">
        <w:rPr>
          <w:lang w:val="fr-FR"/>
        </w:rPr>
        <w:t xml:space="preserve"> des occupants</w:t>
      </w:r>
      <w:r w:rsidR="00E32956" w:rsidRPr="004A0F2F">
        <w:rPr>
          <w:lang w:val="fr-FR"/>
        </w:rPr>
        <w:t xml:space="preserve"> (</w:t>
      </w:r>
      <w:r w:rsidR="002577E9" w:rsidRPr="004A0F2F">
        <w:rPr>
          <w:lang w:val="fr-FR"/>
        </w:rPr>
        <w:t>paragraphe 51</w:t>
      </w:r>
      <w:r w:rsidR="00E32956" w:rsidRPr="004A0F2F">
        <w:rPr>
          <w:lang w:val="fr-FR"/>
        </w:rPr>
        <w:t xml:space="preserve"> ci-dessus).</w:t>
      </w:r>
      <w:r w:rsidR="00765917" w:rsidRPr="004A0F2F">
        <w:rPr>
          <w:lang w:val="fr-FR"/>
        </w:rPr>
        <w:t xml:space="preserve"> </w:t>
      </w:r>
      <w:r w:rsidR="0099421C" w:rsidRPr="004A0F2F">
        <w:rPr>
          <w:lang w:val="fr-FR"/>
        </w:rPr>
        <w:t>D</w:t>
      </w:r>
      <w:r w:rsidR="00603708">
        <w:rPr>
          <w:lang w:val="fr-FR"/>
        </w:rPr>
        <w:t>’</w:t>
      </w:r>
      <w:r w:rsidR="0099421C" w:rsidRPr="004A0F2F">
        <w:rPr>
          <w:lang w:val="fr-FR"/>
        </w:rPr>
        <w:t>ailleurs</w:t>
      </w:r>
      <w:r w:rsidR="00765917" w:rsidRPr="004A0F2F">
        <w:rPr>
          <w:lang w:val="fr-FR"/>
        </w:rPr>
        <w:t>,</w:t>
      </w:r>
      <w:r w:rsidR="0099421C" w:rsidRPr="004A0F2F">
        <w:rPr>
          <w:lang w:val="fr-FR"/>
        </w:rPr>
        <w:t xml:space="preserve"> ainsi</w:t>
      </w:r>
      <w:r w:rsidR="0099421C">
        <w:rPr>
          <w:lang w:val="fr-FR"/>
        </w:rPr>
        <w:t xml:space="preserve"> qu</w:t>
      </w:r>
      <w:r w:rsidR="00603708">
        <w:rPr>
          <w:lang w:val="fr-FR"/>
        </w:rPr>
        <w:t>’</w:t>
      </w:r>
      <w:r w:rsidR="00E32956">
        <w:rPr>
          <w:lang w:val="fr-FR"/>
        </w:rPr>
        <w:t>il ressort de ce même jugement</w:t>
      </w:r>
      <w:r w:rsidR="00765917" w:rsidRPr="004A51F8">
        <w:rPr>
          <w:lang w:val="fr-FR"/>
        </w:rPr>
        <w:t xml:space="preserve">, </w:t>
      </w:r>
      <w:r w:rsidR="00B52DF0">
        <w:rPr>
          <w:lang w:val="fr-FR"/>
        </w:rPr>
        <w:t>la posture du</w:t>
      </w:r>
      <w:r w:rsidR="00765917" w:rsidRPr="004A51F8">
        <w:rPr>
          <w:lang w:val="fr-FR"/>
        </w:rPr>
        <w:t xml:space="preserve"> requérant</w:t>
      </w:r>
      <w:r w:rsidR="00AF1B6A">
        <w:rPr>
          <w:lang w:val="fr-FR"/>
        </w:rPr>
        <w:t>,</w:t>
      </w:r>
      <w:r w:rsidR="00765917" w:rsidRPr="004A51F8">
        <w:rPr>
          <w:lang w:val="fr-FR"/>
        </w:rPr>
        <w:t xml:space="preserve"> assis dos </w:t>
      </w:r>
      <w:r w:rsidR="006B1BBA">
        <w:rPr>
          <w:lang w:val="fr-FR"/>
        </w:rPr>
        <w:t>contre le</w:t>
      </w:r>
      <w:r w:rsidR="00765917" w:rsidRPr="004A51F8">
        <w:rPr>
          <w:lang w:val="fr-FR"/>
        </w:rPr>
        <w:t xml:space="preserve"> mur</w:t>
      </w:r>
      <w:r w:rsidR="006B1BBA">
        <w:rPr>
          <w:lang w:val="fr-FR"/>
        </w:rPr>
        <w:t xml:space="preserve"> et</w:t>
      </w:r>
      <w:r w:rsidR="00765917" w:rsidRPr="004A51F8">
        <w:rPr>
          <w:lang w:val="fr-FR"/>
        </w:rPr>
        <w:t xml:space="preserve"> les bras en l</w:t>
      </w:r>
      <w:r w:rsidR="00603708">
        <w:rPr>
          <w:lang w:val="fr-FR"/>
        </w:rPr>
        <w:t>’</w:t>
      </w:r>
      <w:r w:rsidR="00765917" w:rsidRPr="004A51F8">
        <w:rPr>
          <w:lang w:val="fr-FR"/>
        </w:rPr>
        <w:t>air (</w:t>
      </w:r>
      <w:r w:rsidR="002577E9" w:rsidRPr="00AC0DAF">
        <w:rPr>
          <w:lang w:val="fr-FR"/>
        </w:rPr>
        <w:t>paragraphe 34</w:t>
      </w:r>
      <w:r w:rsidR="00765917" w:rsidRPr="00AC0DAF">
        <w:rPr>
          <w:lang w:val="fr-FR"/>
        </w:rPr>
        <w:t xml:space="preserve"> ci-dessus</w:t>
      </w:r>
      <w:r w:rsidR="00765917">
        <w:rPr>
          <w:lang w:val="fr-FR"/>
        </w:rPr>
        <w:t>)</w:t>
      </w:r>
      <w:r w:rsidR="00B52DF0" w:rsidRPr="00B52DF0">
        <w:rPr>
          <w:lang w:val="fr-FR"/>
        </w:rPr>
        <w:t xml:space="preserve"> </w:t>
      </w:r>
      <w:r w:rsidR="00B52DF0" w:rsidRPr="004A51F8">
        <w:rPr>
          <w:lang w:val="fr-FR"/>
        </w:rPr>
        <w:t>lors de l</w:t>
      </w:r>
      <w:r w:rsidR="00603708">
        <w:rPr>
          <w:lang w:val="fr-FR"/>
        </w:rPr>
        <w:t>’</w:t>
      </w:r>
      <w:r w:rsidR="00B52DF0" w:rsidRPr="004A51F8">
        <w:rPr>
          <w:lang w:val="fr-FR"/>
        </w:rPr>
        <w:t>arrivée de la police</w:t>
      </w:r>
      <w:r w:rsidR="00C95E86">
        <w:rPr>
          <w:lang w:val="fr-FR"/>
        </w:rPr>
        <w:t>,</w:t>
      </w:r>
      <w:r w:rsidR="002577E9">
        <w:rPr>
          <w:lang w:val="fr-FR"/>
        </w:rPr>
        <w:t xml:space="preserve"> </w:t>
      </w:r>
      <w:r w:rsidR="0066431B">
        <w:rPr>
          <w:lang w:val="fr-FR"/>
        </w:rPr>
        <w:t>exclu</w:t>
      </w:r>
      <w:r w:rsidR="006B1BBA">
        <w:rPr>
          <w:lang w:val="fr-FR"/>
        </w:rPr>
        <w:t>t</w:t>
      </w:r>
      <w:r w:rsidR="0066431B">
        <w:rPr>
          <w:lang w:val="fr-FR"/>
        </w:rPr>
        <w:t xml:space="preserve"> </w:t>
      </w:r>
      <w:r w:rsidR="006B1BBA">
        <w:rPr>
          <w:lang w:val="fr-FR"/>
        </w:rPr>
        <w:t>toute</w:t>
      </w:r>
      <w:r w:rsidR="0066431B">
        <w:rPr>
          <w:lang w:val="fr-FR"/>
        </w:rPr>
        <w:t xml:space="preserve"> </w:t>
      </w:r>
      <w:r w:rsidR="007847E8">
        <w:rPr>
          <w:lang w:val="fr-FR"/>
        </w:rPr>
        <w:t xml:space="preserve">résistance </w:t>
      </w:r>
      <w:r w:rsidR="006B1BBA">
        <w:rPr>
          <w:lang w:val="fr-FR"/>
        </w:rPr>
        <w:t>de sa part à</w:t>
      </w:r>
      <w:r w:rsidR="007847E8">
        <w:rPr>
          <w:lang w:val="fr-FR"/>
        </w:rPr>
        <w:t xml:space="preserve"> </w:t>
      </w:r>
      <w:r w:rsidR="00922553">
        <w:rPr>
          <w:lang w:val="fr-FR"/>
        </w:rPr>
        <w:t>l</w:t>
      </w:r>
      <w:r w:rsidR="00603708">
        <w:rPr>
          <w:lang w:val="fr-FR"/>
        </w:rPr>
        <w:t>’</w:t>
      </w:r>
      <w:r w:rsidR="00922553">
        <w:rPr>
          <w:lang w:val="fr-FR"/>
        </w:rPr>
        <w:t xml:space="preserve">égard de </w:t>
      </w:r>
      <w:r w:rsidR="007847E8">
        <w:rPr>
          <w:lang w:val="fr-FR"/>
        </w:rPr>
        <w:t>la police.</w:t>
      </w:r>
    </w:p>
    <w:p w:rsidR="0032468C" w:rsidRDefault="0066431B" w:rsidP="00E32956">
      <w:pPr>
        <w:pStyle w:val="ECHRPara"/>
        <w:tabs>
          <w:tab w:val="num" w:pos="780"/>
        </w:tabs>
        <w:ind w:firstLine="360"/>
        <w:rPr>
          <w:lang w:val="fr-FR"/>
        </w:rPr>
      </w:pPr>
      <w:r>
        <w:rPr>
          <w:lang w:val="fr-FR"/>
        </w:rPr>
        <w:t>De manière encore plus nette, l</w:t>
      </w:r>
      <w:r w:rsidR="00603708">
        <w:rPr>
          <w:lang w:val="fr-FR"/>
        </w:rPr>
        <w:t>’</w:t>
      </w:r>
      <w:r w:rsidR="002508AF" w:rsidRPr="004A51F8">
        <w:rPr>
          <w:lang w:val="fr-FR"/>
        </w:rPr>
        <w:t>arrêt d</w:t>
      </w:r>
      <w:r w:rsidR="00603708">
        <w:rPr>
          <w:lang w:val="fr-FR"/>
        </w:rPr>
        <w:t>’</w:t>
      </w:r>
      <w:r w:rsidR="00E336BA">
        <w:rPr>
          <w:lang w:val="fr-FR"/>
        </w:rPr>
        <w:t xml:space="preserve">appel </w:t>
      </w:r>
      <w:r w:rsidR="00770833">
        <w:rPr>
          <w:lang w:val="fr-FR"/>
        </w:rPr>
        <w:t xml:space="preserve">expose </w:t>
      </w:r>
      <w:r w:rsidR="00DC73A4">
        <w:rPr>
          <w:lang w:val="fr-FR"/>
        </w:rPr>
        <w:t>qu</w:t>
      </w:r>
      <w:r w:rsidR="00603708">
        <w:rPr>
          <w:lang w:val="fr-FR"/>
        </w:rPr>
        <w:t>’</w:t>
      </w:r>
      <w:r w:rsidR="00DC73A4">
        <w:rPr>
          <w:lang w:val="fr-FR"/>
        </w:rPr>
        <w:t xml:space="preserve">aucune preuve </w:t>
      </w:r>
      <w:r w:rsidR="00922553">
        <w:rPr>
          <w:lang w:val="fr-FR"/>
        </w:rPr>
        <w:t>n</w:t>
      </w:r>
      <w:r w:rsidR="00603708">
        <w:rPr>
          <w:lang w:val="fr-FR"/>
        </w:rPr>
        <w:t>’</w:t>
      </w:r>
      <w:r w:rsidR="00922553">
        <w:rPr>
          <w:lang w:val="fr-FR"/>
        </w:rPr>
        <w:t>a été fournie quant aux prétendus</w:t>
      </w:r>
      <w:r w:rsidR="00DC73A4">
        <w:rPr>
          <w:lang w:val="fr-FR"/>
        </w:rPr>
        <w:t xml:space="preserve"> actes </w:t>
      </w:r>
      <w:r w:rsidR="007847E8">
        <w:rPr>
          <w:lang w:val="fr-FR"/>
        </w:rPr>
        <w:t xml:space="preserve">de résistance de la part </w:t>
      </w:r>
      <w:r w:rsidR="00922553">
        <w:rPr>
          <w:lang w:val="fr-FR"/>
        </w:rPr>
        <w:t xml:space="preserve">de certains </w:t>
      </w:r>
      <w:r w:rsidR="007847E8">
        <w:rPr>
          <w:lang w:val="fr-FR"/>
        </w:rPr>
        <w:t>des</w:t>
      </w:r>
      <w:r w:rsidR="00DC73A4">
        <w:rPr>
          <w:lang w:val="fr-FR"/>
        </w:rPr>
        <w:t xml:space="preserve"> occupants</w:t>
      </w:r>
      <w:r w:rsidR="00E32956">
        <w:rPr>
          <w:lang w:val="fr-FR"/>
        </w:rPr>
        <w:t xml:space="preserve">, avant ou après </w:t>
      </w:r>
      <w:r>
        <w:rPr>
          <w:lang w:val="fr-FR"/>
        </w:rPr>
        <w:t>l</w:t>
      </w:r>
      <w:r w:rsidR="00603708">
        <w:rPr>
          <w:lang w:val="fr-FR"/>
        </w:rPr>
        <w:t>’</w:t>
      </w:r>
      <w:r>
        <w:rPr>
          <w:lang w:val="fr-FR"/>
        </w:rPr>
        <w:t>irruption de la police</w:t>
      </w:r>
      <w:r w:rsidR="002577E9" w:rsidRPr="00AC0DAF">
        <w:rPr>
          <w:lang w:val="fr-FR"/>
        </w:rPr>
        <w:t xml:space="preserve"> (paragraphe 71 ci-dessus</w:t>
      </w:r>
      <w:r w:rsidR="002577E9" w:rsidRPr="0066431B">
        <w:rPr>
          <w:lang w:val="fr-FR"/>
        </w:rPr>
        <w:t>)</w:t>
      </w:r>
      <w:r w:rsidR="00E32956" w:rsidRPr="0066431B">
        <w:rPr>
          <w:lang w:val="fr-FR"/>
        </w:rPr>
        <w:t>.</w:t>
      </w:r>
      <w:r w:rsidR="00E32956">
        <w:rPr>
          <w:lang w:val="fr-FR"/>
        </w:rPr>
        <w:t xml:space="preserve"> En outre, </w:t>
      </w:r>
      <w:r w:rsidR="00770833">
        <w:rPr>
          <w:lang w:val="fr-FR"/>
        </w:rPr>
        <w:t xml:space="preserve">selon </w:t>
      </w:r>
      <w:r w:rsidR="00E32956">
        <w:rPr>
          <w:lang w:val="fr-FR"/>
        </w:rPr>
        <w:t>cet arrêt</w:t>
      </w:r>
      <w:r w:rsidR="00770833">
        <w:rPr>
          <w:lang w:val="fr-FR"/>
        </w:rPr>
        <w:t>,</w:t>
      </w:r>
      <w:r w:rsidR="00E336BA">
        <w:rPr>
          <w:lang w:val="fr-FR"/>
        </w:rPr>
        <w:t xml:space="preserve"> </w:t>
      </w:r>
      <w:r w:rsidR="002508AF" w:rsidRPr="004A51F8">
        <w:rPr>
          <w:lang w:val="fr-FR"/>
        </w:rPr>
        <w:t xml:space="preserve">les agents </w:t>
      </w:r>
      <w:r w:rsidR="00E336BA">
        <w:rPr>
          <w:lang w:val="fr-FR"/>
        </w:rPr>
        <w:t xml:space="preserve">de police </w:t>
      </w:r>
      <w:r w:rsidR="00922553">
        <w:rPr>
          <w:lang w:val="fr-FR"/>
        </w:rPr>
        <w:t>étaient restés indifférents</w:t>
      </w:r>
      <w:r w:rsidR="002508AF" w:rsidRPr="004A51F8">
        <w:rPr>
          <w:lang w:val="fr-FR"/>
        </w:rPr>
        <w:t xml:space="preserve"> à toute condition </w:t>
      </w:r>
      <w:r w:rsidR="00AF1B6A">
        <w:rPr>
          <w:lang w:val="fr-FR"/>
        </w:rPr>
        <w:t xml:space="preserve">de vulnérabilité </w:t>
      </w:r>
      <w:r w:rsidR="002508AF" w:rsidRPr="004A51F8">
        <w:rPr>
          <w:lang w:val="fr-FR"/>
        </w:rPr>
        <w:t>physique liée au sexe et à l</w:t>
      </w:r>
      <w:r w:rsidR="00603708">
        <w:rPr>
          <w:lang w:val="fr-FR"/>
        </w:rPr>
        <w:t>’</w:t>
      </w:r>
      <w:r w:rsidR="002508AF" w:rsidRPr="004A51F8">
        <w:rPr>
          <w:lang w:val="fr-FR"/>
        </w:rPr>
        <w:t>âge</w:t>
      </w:r>
      <w:r w:rsidR="00943356">
        <w:rPr>
          <w:lang w:val="fr-FR"/>
        </w:rPr>
        <w:t>,</w:t>
      </w:r>
      <w:r w:rsidR="002508AF" w:rsidRPr="004A51F8">
        <w:rPr>
          <w:lang w:val="fr-FR"/>
        </w:rPr>
        <w:t xml:space="preserve"> </w:t>
      </w:r>
      <w:r w:rsidR="00943356">
        <w:rPr>
          <w:lang w:val="fr-FR"/>
        </w:rPr>
        <w:t>et</w:t>
      </w:r>
      <w:r w:rsidR="002508AF" w:rsidRPr="004A51F8">
        <w:rPr>
          <w:lang w:val="fr-FR"/>
        </w:rPr>
        <w:t xml:space="preserve"> à tout signe de capitulation, même de</w:t>
      </w:r>
      <w:r w:rsidR="00F610E7">
        <w:rPr>
          <w:lang w:val="fr-FR"/>
        </w:rPr>
        <w:t xml:space="preserve"> la part de</w:t>
      </w:r>
      <w:r w:rsidR="002508AF" w:rsidRPr="004A51F8">
        <w:rPr>
          <w:lang w:val="fr-FR"/>
        </w:rPr>
        <w:t xml:space="preserve"> personnes qu</w:t>
      </w:r>
      <w:r w:rsidR="00F610E7">
        <w:rPr>
          <w:lang w:val="fr-FR"/>
        </w:rPr>
        <w:t>e</w:t>
      </w:r>
      <w:r w:rsidR="002508AF" w:rsidRPr="004A51F8">
        <w:rPr>
          <w:lang w:val="fr-FR"/>
        </w:rPr>
        <w:t xml:space="preserve"> le bruit de l</w:t>
      </w:r>
      <w:r w:rsidR="00603708">
        <w:rPr>
          <w:lang w:val="fr-FR"/>
        </w:rPr>
        <w:t>’</w:t>
      </w:r>
      <w:r w:rsidR="002508AF" w:rsidRPr="004A51F8">
        <w:rPr>
          <w:lang w:val="fr-FR"/>
        </w:rPr>
        <w:t>irruption venait de réveiller (</w:t>
      </w:r>
      <w:r w:rsidR="002577E9" w:rsidRPr="00AC0DAF">
        <w:rPr>
          <w:lang w:val="fr-FR"/>
        </w:rPr>
        <w:t>paragraphe 67 et 73 ci-dessus</w:t>
      </w:r>
      <w:r w:rsidR="002508AF" w:rsidRPr="004A51F8">
        <w:rPr>
          <w:lang w:val="fr-FR"/>
        </w:rPr>
        <w:t>).</w:t>
      </w:r>
    </w:p>
    <w:p w:rsidR="0032468C" w:rsidRDefault="002508AF" w:rsidP="00E32956">
      <w:pPr>
        <w:pStyle w:val="ECHRPara"/>
        <w:tabs>
          <w:tab w:val="num" w:pos="780"/>
        </w:tabs>
        <w:ind w:firstLine="360"/>
        <w:rPr>
          <w:lang w:val="fr-FR"/>
        </w:rPr>
      </w:pPr>
      <w:r w:rsidRPr="004A51F8">
        <w:rPr>
          <w:lang w:val="fr-FR"/>
        </w:rPr>
        <w:t>L</w:t>
      </w:r>
      <w:r w:rsidR="00603708">
        <w:rPr>
          <w:lang w:val="fr-FR"/>
        </w:rPr>
        <w:t>’</w:t>
      </w:r>
      <w:r w:rsidRPr="004A51F8">
        <w:rPr>
          <w:lang w:val="fr-FR"/>
        </w:rPr>
        <w:t xml:space="preserve">arrêt de la Cour de cassation confirme </w:t>
      </w:r>
      <w:r w:rsidR="00F610E7">
        <w:rPr>
          <w:lang w:val="fr-FR"/>
        </w:rPr>
        <w:t>l</w:t>
      </w:r>
      <w:r w:rsidR="00603708">
        <w:rPr>
          <w:lang w:val="fr-FR"/>
        </w:rPr>
        <w:t>’</w:t>
      </w:r>
      <w:r w:rsidR="00F610E7">
        <w:rPr>
          <w:lang w:val="fr-FR"/>
        </w:rPr>
        <w:t>absence</w:t>
      </w:r>
      <w:r w:rsidRPr="004A51F8">
        <w:rPr>
          <w:lang w:val="fr-FR"/>
        </w:rPr>
        <w:t xml:space="preserve"> de résistance de la part des occupants (</w:t>
      </w:r>
      <w:r w:rsidR="00E336BA" w:rsidRPr="00AC0DAF">
        <w:rPr>
          <w:lang w:val="fr-FR"/>
        </w:rPr>
        <w:t>paragraphe</w:t>
      </w:r>
      <w:r w:rsidRPr="00AC0DAF">
        <w:rPr>
          <w:lang w:val="fr-FR"/>
        </w:rPr>
        <w:t xml:space="preserve"> </w:t>
      </w:r>
      <w:r w:rsidR="002577E9" w:rsidRPr="00AC0DAF">
        <w:rPr>
          <w:lang w:val="fr-FR"/>
        </w:rPr>
        <w:t>80</w:t>
      </w:r>
      <w:r w:rsidRPr="00AC0DAF">
        <w:rPr>
          <w:lang w:val="fr-FR"/>
        </w:rPr>
        <w:t xml:space="preserve"> </w:t>
      </w:r>
      <w:r w:rsidR="00E336BA" w:rsidRPr="00AC0DAF">
        <w:rPr>
          <w:lang w:val="fr-FR"/>
        </w:rPr>
        <w:t>ci-dessus</w:t>
      </w:r>
      <w:r w:rsidRPr="004A51F8">
        <w:rPr>
          <w:lang w:val="fr-FR"/>
        </w:rPr>
        <w:t>).</w:t>
      </w:r>
    </w:p>
    <w:p w:rsidR="0032468C" w:rsidRDefault="00BA348D" w:rsidP="00D07DCD">
      <w:pPr>
        <w:pStyle w:val="ECHRPara"/>
        <w:rPr>
          <w:rStyle w:val="sb8d990e2"/>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181</w:t>
      </w:r>
      <w:r>
        <w:rPr>
          <w:lang w:val="fr-FR"/>
        </w:rPr>
        <w:fldChar w:fldCharType="end"/>
      </w:r>
      <w:r>
        <w:rPr>
          <w:lang w:val="fr-FR"/>
        </w:rPr>
        <w:t>.  </w:t>
      </w:r>
      <w:r w:rsidR="00E336BA">
        <w:rPr>
          <w:lang w:val="fr-FR"/>
        </w:rPr>
        <w:t xml:space="preserve">Dès lors, </w:t>
      </w:r>
      <w:r w:rsidR="00C10573">
        <w:rPr>
          <w:lang w:val="fr-FR"/>
        </w:rPr>
        <w:t xml:space="preserve">la présente affaire </w:t>
      </w:r>
      <w:r>
        <w:rPr>
          <w:lang w:val="fr-FR"/>
        </w:rPr>
        <w:t xml:space="preserve">se distingue </w:t>
      </w:r>
      <w:r w:rsidR="00C10573">
        <w:rPr>
          <w:lang w:val="fr-FR"/>
        </w:rPr>
        <w:t>des affaires o</w:t>
      </w:r>
      <w:r w:rsidR="00FD655E">
        <w:rPr>
          <w:lang w:val="fr-FR"/>
        </w:rPr>
        <w:t>ù l</w:t>
      </w:r>
      <w:r w:rsidR="00603708">
        <w:rPr>
          <w:lang w:val="fr-FR"/>
        </w:rPr>
        <w:t>’</w:t>
      </w:r>
      <w:r w:rsidR="00FD655E">
        <w:rPr>
          <w:lang w:val="fr-FR"/>
        </w:rPr>
        <w:t xml:space="preserve">utilisation </w:t>
      </w:r>
      <w:r w:rsidR="00670B39">
        <w:rPr>
          <w:lang w:val="fr-FR"/>
        </w:rPr>
        <w:t xml:space="preserve">(disproportionnée) </w:t>
      </w:r>
      <w:r w:rsidR="00FD655E">
        <w:rPr>
          <w:lang w:val="fr-FR"/>
        </w:rPr>
        <w:t xml:space="preserve">de </w:t>
      </w:r>
      <w:r w:rsidR="00E32956">
        <w:rPr>
          <w:lang w:val="fr-FR"/>
        </w:rPr>
        <w:t>la force</w:t>
      </w:r>
      <w:r w:rsidR="00670B39">
        <w:rPr>
          <w:lang w:val="fr-FR"/>
        </w:rPr>
        <w:t xml:space="preserve"> par des agents de police était </w:t>
      </w:r>
      <w:r w:rsidR="00CD1EDB">
        <w:rPr>
          <w:lang w:val="fr-FR"/>
        </w:rPr>
        <w:t xml:space="preserve">à mettre en relation </w:t>
      </w:r>
      <w:r>
        <w:rPr>
          <w:lang w:val="fr-FR"/>
        </w:rPr>
        <w:t>avec des a</w:t>
      </w:r>
      <w:r w:rsidR="00FD655E">
        <w:rPr>
          <w:lang w:val="fr-FR"/>
        </w:rPr>
        <w:t>ctes</w:t>
      </w:r>
      <w:r w:rsidR="00C10573">
        <w:rPr>
          <w:lang w:val="fr-FR"/>
        </w:rPr>
        <w:t xml:space="preserve"> </w:t>
      </w:r>
      <w:r w:rsidR="00FD655E">
        <w:rPr>
          <w:lang w:val="fr-FR"/>
        </w:rPr>
        <w:t xml:space="preserve">de </w:t>
      </w:r>
      <w:r w:rsidR="00FD655E" w:rsidRPr="00785D80">
        <w:rPr>
          <w:rStyle w:val="sb8d990e2"/>
          <w:lang w:val="fr-FR"/>
        </w:rPr>
        <w:t xml:space="preserve">résistance </w:t>
      </w:r>
      <w:r w:rsidR="00FD655E">
        <w:rPr>
          <w:rStyle w:val="sb8d990e2"/>
          <w:lang w:val="fr-FR"/>
        </w:rPr>
        <w:t xml:space="preserve">physique </w:t>
      </w:r>
      <w:r w:rsidR="003B43CE">
        <w:rPr>
          <w:rStyle w:val="sb8d990e2"/>
          <w:lang w:val="fr-FR"/>
        </w:rPr>
        <w:t xml:space="preserve">ou des tentatives de fuite </w:t>
      </w:r>
      <w:r w:rsidR="00FD655E">
        <w:rPr>
          <w:lang w:val="fr-FR"/>
        </w:rPr>
        <w:t>(</w:t>
      </w:r>
      <w:r w:rsidRPr="00AC0DAF">
        <w:rPr>
          <w:lang w:val="fr-FR"/>
        </w:rPr>
        <w:t>parmi les cas d</w:t>
      </w:r>
      <w:r w:rsidR="00603708">
        <w:rPr>
          <w:lang w:val="fr-FR"/>
        </w:rPr>
        <w:t>’</w:t>
      </w:r>
      <w:r w:rsidR="00C10573" w:rsidRPr="00AC0DAF">
        <w:rPr>
          <w:rStyle w:val="sb8d990e2"/>
          <w:lang w:val="fr-FR"/>
        </w:rPr>
        <w:t>arrestation d</w:t>
      </w:r>
      <w:r w:rsidR="00603708">
        <w:rPr>
          <w:rStyle w:val="sb8d990e2"/>
          <w:lang w:val="fr-FR"/>
        </w:rPr>
        <w:t>’</w:t>
      </w:r>
      <w:r w:rsidR="00C10573" w:rsidRPr="00AC0DAF">
        <w:rPr>
          <w:rStyle w:val="sb8d990e2"/>
          <w:lang w:val="fr-FR"/>
        </w:rPr>
        <w:t>un suspect</w:t>
      </w:r>
      <w:r w:rsidR="00FD655E" w:rsidRPr="00AC0DAF">
        <w:rPr>
          <w:rStyle w:val="sb8d990e2"/>
          <w:lang w:val="fr-FR"/>
        </w:rPr>
        <w:t>,</w:t>
      </w:r>
      <w:r w:rsidR="00670B39" w:rsidRPr="00AC0DAF">
        <w:rPr>
          <w:rStyle w:val="sb8d990e2"/>
          <w:lang w:val="fr-FR"/>
        </w:rPr>
        <w:t xml:space="preserve"> voir, par exemple,</w:t>
      </w:r>
      <w:r w:rsidR="00FD655E" w:rsidRPr="00AC0DAF">
        <w:rPr>
          <w:rStyle w:val="sb8d990e2"/>
          <w:lang w:val="fr-FR"/>
        </w:rPr>
        <w:t xml:space="preserve"> </w:t>
      </w:r>
      <w:r w:rsidR="00FD655E" w:rsidRPr="00AC0DAF">
        <w:rPr>
          <w:rStyle w:val="sb8d990e2"/>
          <w:i/>
          <w:lang w:val="fr-FR"/>
        </w:rPr>
        <w:t>Egmez</w:t>
      </w:r>
      <w:r w:rsidR="00FD655E" w:rsidRPr="00AC0DAF">
        <w:rPr>
          <w:rStyle w:val="sb8d990e2"/>
          <w:lang w:val="fr-FR"/>
        </w:rPr>
        <w:t xml:space="preserve">, </w:t>
      </w:r>
      <w:r w:rsidR="00670B39" w:rsidRPr="00AC0DAF">
        <w:rPr>
          <w:rStyle w:val="sb8d990e2"/>
          <w:lang w:val="fr-FR"/>
        </w:rPr>
        <w:t xml:space="preserve">précité, §§ 13, 76 et 78, </w:t>
      </w:r>
      <w:r w:rsidR="00F610E7">
        <w:rPr>
          <w:rStyle w:val="sb8d990e2"/>
          <w:lang w:val="fr-FR"/>
        </w:rPr>
        <w:t>et</w:t>
      </w:r>
      <w:r w:rsidR="00FD655E" w:rsidRPr="00AC0DAF">
        <w:rPr>
          <w:rStyle w:val="sb8d990e2"/>
          <w:lang w:val="fr-FR"/>
        </w:rPr>
        <w:t xml:space="preserve"> </w:t>
      </w:r>
      <w:r w:rsidR="00FD655E" w:rsidRPr="00AC0DAF">
        <w:rPr>
          <w:i/>
          <w:lang w:val="fr-FR"/>
        </w:rPr>
        <w:t>Rehbock c. Slovénie</w:t>
      </w:r>
      <w:r w:rsidR="00FD655E" w:rsidRPr="00AC0DAF">
        <w:rPr>
          <w:lang w:val="fr-FR"/>
        </w:rPr>
        <w:t xml:space="preserve">, </w:t>
      </w:r>
      <w:r w:rsidR="00F610E7" w:rsidRPr="00AC0DAF">
        <w:rPr>
          <w:lang w:val="fr-FR"/>
        </w:rPr>
        <w:t>n</w:t>
      </w:r>
      <w:r w:rsidR="00F610E7" w:rsidRPr="00AC0DAF">
        <w:rPr>
          <w:vertAlign w:val="superscript"/>
          <w:lang w:val="fr-FR"/>
        </w:rPr>
        <w:t>o</w:t>
      </w:r>
      <w:r w:rsidR="00F610E7">
        <w:rPr>
          <w:lang w:val="fr-FR"/>
        </w:rPr>
        <w:t> </w:t>
      </w:r>
      <w:r w:rsidR="00FD655E" w:rsidRPr="00AC0DAF">
        <w:rPr>
          <w:lang w:val="fr-FR"/>
        </w:rPr>
        <w:t>29462/95, §§ 71-78, CEDH 2000</w:t>
      </w:r>
      <w:r w:rsidR="00FD655E" w:rsidRPr="00AC0DAF">
        <w:rPr>
          <w:lang w:val="fr-FR"/>
        </w:rPr>
        <w:noBreakHyphen/>
        <w:t>XII</w:t>
      </w:r>
      <w:r w:rsidRPr="00AC0DAF">
        <w:rPr>
          <w:lang w:val="fr-FR"/>
        </w:rPr>
        <w:t> ; parmi les cas de contrôles d</w:t>
      </w:r>
      <w:r w:rsidR="00603708">
        <w:rPr>
          <w:lang w:val="fr-FR"/>
        </w:rPr>
        <w:t>’</w:t>
      </w:r>
      <w:r w:rsidRPr="00AC0DAF">
        <w:rPr>
          <w:lang w:val="fr-FR"/>
        </w:rPr>
        <w:t>identité,</w:t>
      </w:r>
      <w:r w:rsidR="00FD655E" w:rsidRPr="00AC0DAF">
        <w:rPr>
          <w:lang w:val="fr-FR"/>
        </w:rPr>
        <w:t xml:space="preserve"> </w:t>
      </w:r>
      <w:r w:rsidR="00FD655E" w:rsidRPr="00AC0DAF">
        <w:rPr>
          <w:rStyle w:val="sb8d990e2"/>
          <w:lang w:val="fr-FR"/>
        </w:rPr>
        <w:t>voir</w:t>
      </w:r>
      <w:r w:rsidR="00670B39" w:rsidRPr="00AC0DAF">
        <w:rPr>
          <w:rStyle w:val="sb8d990e2"/>
          <w:lang w:val="fr-FR"/>
        </w:rPr>
        <w:t>, par exemple,</w:t>
      </w:r>
      <w:r w:rsidRPr="00AC0DAF">
        <w:rPr>
          <w:rStyle w:val="sb8d990e2"/>
          <w:lang w:val="fr-FR"/>
        </w:rPr>
        <w:t xml:space="preserve"> </w:t>
      </w:r>
      <w:r w:rsidR="000B3600" w:rsidRPr="00AC0DAF">
        <w:rPr>
          <w:i/>
          <w:lang w:val="fr-FR"/>
        </w:rPr>
        <w:t>Sarigiannis c. Italie</w:t>
      </w:r>
      <w:r w:rsidR="000B3600" w:rsidRPr="00AC0DAF">
        <w:rPr>
          <w:lang w:val="fr-FR"/>
        </w:rPr>
        <w:t>, n</w:t>
      </w:r>
      <w:r w:rsidR="000B3600" w:rsidRPr="00AC0DAF">
        <w:rPr>
          <w:vertAlign w:val="superscript"/>
          <w:lang w:val="fr-FR"/>
        </w:rPr>
        <w:t>o</w:t>
      </w:r>
      <w:r w:rsidR="000B3600" w:rsidRPr="00AC0DAF">
        <w:rPr>
          <w:lang w:val="fr-FR"/>
        </w:rPr>
        <w:t xml:space="preserve"> 14569/05</w:t>
      </w:r>
      <w:r w:rsidR="000B3600" w:rsidRPr="00AC0DAF">
        <w:rPr>
          <w:snapToGrid w:val="0"/>
          <w:szCs w:val="24"/>
          <w:lang w:val="fr-FR"/>
        </w:rPr>
        <w:t xml:space="preserve">, §§ </w:t>
      </w:r>
      <w:r w:rsidR="000B3600" w:rsidRPr="00AC0DAF">
        <w:rPr>
          <w:rStyle w:val="sb8d990e2"/>
          <w:lang w:val="fr-FR"/>
        </w:rPr>
        <w:t>59-62,</w:t>
      </w:r>
      <w:r w:rsidR="000B3600" w:rsidRPr="00AC0DAF">
        <w:rPr>
          <w:snapToGrid w:val="0"/>
          <w:szCs w:val="24"/>
          <w:lang w:val="fr-FR"/>
        </w:rPr>
        <w:t xml:space="preserve"> </w:t>
      </w:r>
      <w:r w:rsidR="00F610E7" w:rsidRPr="00AC0DAF">
        <w:rPr>
          <w:snapToGrid w:val="0"/>
          <w:szCs w:val="24"/>
          <w:lang w:val="fr-FR"/>
        </w:rPr>
        <w:t>5</w:t>
      </w:r>
      <w:r w:rsidR="00F610E7">
        <w:rPr>
          <w:snapToGrid w:val="0"/>
          <w:szCs w:val="24"/>
          <w:lang w:val="fr-FR"/>
        </w:rPr>
        <w:t> </w:t>
      </w:r>
      <w:r w:rsidR="000B3600" w:rsidRPr="00AC0DAF">
        <w:rPr>
          <w:szCs w:val="24"/>
          <w:lang w:val="fr-FR"/>
        </w:rPr>
        <w:t>avril</w:t>
      </w:r>
      <w:r w:rsidR="000B3600" w:rsidRPr="00AC0DAF">
        <w:rPr>
          <w:snapToGrid w:val="0"/>
          <w:szCs w:val="24"/>
          <w:lang w:val="fr-FR"/>
        </w:rPr>
        <w:t xml:space="preserve"> 2011</w:t>
      </w:r>
      <w:r w:rsidR="00F610E7">
        <w:rPr>
          <w:snapToGrid w:val="0"/>
          <w:szCs w:val="24"/>
          <w:lang w:val="fr-FR"/>
        </w:rPr>
        <w:t>,</w:t>
      </w:r>
      <w:r w:rsidR="00FD655E" w:rsidRPr="00AC0DAF">
        <w:rPr>
          <w:rStyle w:val="sb8d990e2"/>
          <w:lang w:val="fr-FR"/>
        </w:rPr>
        <w:t xml:space="preserve"> </w:t>
      </w:r>
      <w:r w:rsidR="00F610E7">
        <w:rPr>
          <w:rStyle w:val="sb8d990e2"/>
          <w:lang w:val="fr-FR"/>
        </w:rPr>
        <w:t>et</w:t>
      </w:r>
      <w:r w:rsidR="00FD655E" w:rsidRPr="00AC0DAF">
        <w:rPr>
          <w:rStyle w:val="sb8d990e2"/>
          <w:lang w:val="fr-FR"/>
        </w:rPr>
        <w:t xml:space="preserve"> </w:t>
      </w:r>
      <w:r w:rsidR="00FD655E" w:rsidRPr="00AC0DAF">
        <w:rPr>
          <w:rStyle w:val="sb8d990e2"/>
          <w:i/>
          <w:lang w:val="fr-FR"/>
        </w:rPr>
        <w:t>Dembele</w:t>
      </w:r>
      <w:r w:rsidR="00670B39" w:rsidRPr="00AC0DAF">
        <w:rPr>
          <w:rStyle w:val="sb8d990e2"/>
          <w:lang w:val="fr-FR"/>
        </w:rPr>
        <w:t>, précité, §§ 43-47</w:t>
      </w:r>
      <w:r w:rsidRPr="00AC0DAF">
        <w:rPr>
          <w:rStyle w:val="sb8d990e2"/>
          <w:lang w:val="fr-FR"/>
        </w:rPr>
        <w:t xml:space="preserve"> ; pour des cas </w:t>
      </w:r>
      <w:r w:rsidR="00E32956" w:rsidRPr="00AC0DAF">
        <w:rPr>
          <w:rStyle w:val="sb8d990e2"/>
          <w:lang w:val="fr-FR"/>
        </w:rPr>
        <w:t xml:space="preserve">de violences </w:t>
      </w:r>
      <w:r w:rsidR="00F610E7">
        <w:rPr>
          <w:rStyle w:val="sb8d990e2"/>
          <w:lang w:val="fr-FR"/>
        </w:rPr>
        <w:t>perpétrées</w:t>
      </w:r>
      <w:r w:rsidR="00F610E7" w:rsidRPr="00AC0DAF">
        <w:rPr>
          <w:rStyle w:val="sb8d990e2"/>
          <w:lang w:val="fr-FR"/>
        </w:rPr>
        <w:t xml:space="preserve"> </w:t>
      </w:r>
      <w:r w:rsidR="00E32956" w:rsidRPr="00AC0DAF">
        <w:rPr>
          <w:rStyle w:val="sb8d990e2"/>
          <w:lang w:val="fr-FR"/>
        </w:rPr>
        <w:t xml:space="preserve">en </w:t>
      </w:r>
      <w:r w:rsidR="00983A93" w:rsidRPr="00AC0DAF">
        <w:rPr>
          <w:rStyle w:val="sb8d990e2"/>
          <w:lang w:val="fr-FR"/>
        </w:rPr>
        <w:t>garde à vue</w:t>
      </w:r>
      <w:r w:rsidR="00F610E7">
        <w:rPr>
          <w:rStyle w:val="sb8d990e2"/>
          <w:lang w:val="fr-FR"/>
        </w:rPr>
        <w:t>, voir</w:t>
      </w:r>
      <w:r w:rsidRPr="00AC0DAF">
        <w:rPr>
          <w:rStyle w:val="sb8d990e2"/>
          <w:lang w:val="fr-FR"/>
        </w:rPr>
        <w:t xml:space="preserve"> </w:t>
      </w:r>
      <w:r w:rsidR="00D07DCD" w:rsidRPr="00AC0DAF">
        <w:rPr>
          <w:i/>
          <w:lang w:val="fr-FR"/>
        </w:rPr>
        <w:t>Rivas c. France</w:t>
      </w:r>
      <w:r w:rsidR="00D07DCD" w:rsidRPr="00AC0DAF">
        <w:rPr>
          <w:lang w:val="fr-FR"/>
        </w:rPr>
        <w:t>, n</w:t>
      </w:r>
      <w:r w:rsidR="00D07DCD" w:rsidRPr="00AC0DAF">
        <w:rPr>
          <w:vertAlign w:val="superscript"/>
          <w:lang w:val="fr-FR"/>
        </w:rPr>
        <w:t>o</w:t>
      </w:r>
      <w:r w:rsidR="00D07DCD" w:rsidRPr="00AC0DAF">
        <w:rPr>
          <w:lang w:val="fr-FR"/>
        </w:rPr>
        <w:t xml:space="preserve"> 59584/00, §§</w:t>
      </w:r>
      <w:r w:rsidR="003B43CE" w:rsidRPr="00AC0DAF">
        <w:rPr>
          <w:lang w:val="fr-FR"/>
        </w:rPr>
        <w:t xml:space="preserve"> 40-41</w:t>
      </w:r>
      <w:r w:rsidR="00D07DCD" w:rsidRPr="00AC0DAF">
        <w:rPr>
          <w:lang w:val="fr-FR"/>
        </w:rPr>
        <w:t xml:space="preserve">, </w:t>
      </w:r>
      <w:r w:rsidR="00F610E7" w:rsidRPr="00AC0DAF">
        <w:rPr>
          <w:szCs w:val="24"/>
          <w:lang w:val="fr-FR"/>
        </w:rPr>
        <w:t>1</w:t>
      </w:r>
      <w:r w:rsidR="00F610E7" w:rsidRPr="00AC0DAF">
        <w:rPr>
          <w:szCs w:val="24"/>
          <w:vertAlign w:val="superscript"/>
          <w:lang w:val="fr-FR"/>
        </w:rPr>
        <w:t>er</w:t>
      </w:r>
      <w:r w:rsidR="00F610E7">
        <w:rPr>
          <w:lang w:val="fr-FR"/>
        </w:rPr>
        <w:t> </w:t>
      </w:r>
      <w:r w:rsidR="00D07DCD" w:rsidRPr="00AC0DAF">
        <w:rPr>
          <w:lang w:val="fr-FR"/>
        </w:rPr>
        <w:t>avril 2004</w:t>
      </w:r>
      <w:r w:rsidR="00F610E7">
        <w:rPr>
          <w:lang w:val="fr-FR"/>
        </w:rPr>
        <w:t>, et</w:t>
      </w:r>
      <w:r w:rsidR="00D07DCD" w:rsidRPr="00AC0DAF">
        <w:rPr>
          <w:rStyle w:val="sb8d990e2"/>
          <w:i/>
          <w:lang w:val="fr-FR"/>
        </w:rPr>
        <w:t xml:space="preserve"> </w:t>
      </w:r>
      <w:r w:rsidRPr="00AC0DAF">
        <w:rPr>
          <w:rStyle w:val="sb8d990e2"/>
          <w:i/>
          <w:lang w:val="fr-FR"/>
        </w:rPr>
        <w:t>Darraj</w:t>
      </w:r>
      <w:r w:rsidRPr="00AC0DAF">
        <w:rPr>
          <w:rStyle w:val="sb8d990e2"/>
          <w:lang w:val="fr-FR"/>
        </w:rPr>
        <w:t>,</w:t>
      </w:r>
      <w:r w:rsidR="00D07DCD" w:rsidRPr="00AC0DAF">
        <w:rPr>
          <w:rStyle w:val="sb8d990e2"/>
          <w:lang w:val="fr-FR"/>
        </w:rPr>
        <w:t xml:space="preserve"> </w:t>
      </w:r>
      <w:r w:rsidR="001104A2" w:rsidRPr="00AC0DAF">
        <w:rPr>
          <w:rStyle w:val="sb8d990e2"/>
          <w:lang w:val="fr-FR"/>
        </w:rPr>
        <w:t xml:space="preserve">précité, </w:t>
      </w:r>
      <w:r w:rsidR="003B43CE" w:rsidRPr="00AC0DAF">
        <w:rPr>
          <w:rStyle w:val="sb8d990e2"/>
          <w:lang w:val="fr-FR"/>
        </w:rPr>
        <w:t>§§ 38-44</w:t>
      </w:r>
      <w:r w:rsidR="00FD655E">
        <w:rPr>
          <w:rStyle w:val="sb8d990e2"/>
          <w:lang w:val="fr-FR"/>
        </w:rPr>
        <w:t>)</w:t>
      </w:r>
      <w:r w:rsidR="00983A93">
        <w:rPr>
          <w:rStyle w:val="sb8d990e2"/>
          <w:lang w:val="fr-FR"/>
        </w:rPr>
        <w:t>.</w:t>
      </w:r>
    </w:p>
    <w:p w:rsidR="0032468C" w:rsidRPr="008D3288" w:rsidRDefault="00DC15C9" w:rsidP="00D07DCD">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B378F9">
        <w:rPr>
          <w:rStyle w:val="sb8d990e2"/>
          <w:noProof/>
          <w:lang w:val="fr-FR"/>
        </w:rPr>
        <w:t>182</w:t>
      </w:r>
      <w:r>
        <w:rPr>
          <w:rStyle w:val="sb8d990e2"/>
          <w:lang w:val="fr-FR"/>
        </w:rPr>
        <w:fldChar w:fldCharType="end"/>
      </w:r>
      <w:r>
        <w:rPr>
          <w:rStyle w:val="sb8d990e2"/>
          <w:lang w:val="fr-FR"/>
        </w:rPr>
        <w:t xml:space="preserve">.  Les mauvais traitements </w:t>
      </w:r>
      <w:r w:rsidR="007C4D6C">
        <w:rPr>
          <w:rStyle w:val="sb8d990e2"/>
          <w:lang w:val="fr-FR"/>
        </w:rPr>
        <w:t>en cause en l</w:t>
      </w:r>
      <w:r w:rsidR="00603708">
        <w:rPr>
          <w:rStyle w:val="sb8d990e2"/>
          <w:lang w:val="fr-FR"/>
        </w:rPr>
        <w:t>’</w:t>
      </w:r>
      <w:r w:rsidR="007C4D6C">
        <w:rPr>
          <w:rStyle w:val="sb8d990e2"/>
          <w:lang w:val="fr-FR"/>
        </w:rPr>
        <w:t xml:space="preserve">espèce ont donc été </w:t>
      </w:r>
      <w:r w:rsidR="00F610E7">
        <w:rPr>
          <w:rStyle w:val="sb8d990e2"/>
          <w:lang w:val="fr-FR"/>
        </w:rPr>
        <w:t>infligés au</w:t>
      </w:r>
      <w:r>
        <w:rPr>
          <w:rStyle w:val="sb8d990e2"/>
          <w:lang w:val="fr-FR"/>
        </w:rPr>
        <w:t xml:space="preserve"> requérant </w:t>
      </w:r>
      <w:r w:rsidR="007C4D6C">
        <w:rPr>
          <w:rStyle w:val="sb8d990e2"/>
          <w:lang w:val="fr-FR"/>
        </w:rPr>
        <w:t>de manière totalement</w:t>
      </w:r>
      <w:r>
        <w:rPr>
          <w:rStyle w:val="sb8d990e2"/>
          <w:lang w:val="fr-FR"/>
        </w:rPr>
        <w:t xml:space="preserve"> gratuit</w:t>
      </w:r>
      <w:r w:rsidR="007C4D6C">
        <w:rPr>
          <w:rStyle w:val="sb8d990e2"/>
          <w:lang w:val="fr-FR"/>
        </w:rPr>
        <w:t>e</w:t>
      </w:r>
      <w:r w:rsidR="00B503F2">
        <w:rPr>
          <w:rStyle w:val="sb8d990e2"/>
          <w:lang w:val="fr-FR"/>
        </w:rPr>
        <w:t xml:space="preserve"> et</w:t>
      </w:r>
      <w:r w:rsidR="0065009A">
        <w:rPr>
          <w:rStyle w:val="sb8d990e2"/>
          <w:lang w:val="fr-FR"/>
        </w:rPr>
        <w:t>,</w:t>
      </w:r>
      <w:r w:rsidR="001104A2">
        <w:rPr>
          <w:rStyle w:val="sb8d990e2"/>
          <w:lang w:val="fr-FR"/>
        </w:rPr>
        <w:t xml:space="preserve"> </w:t>
      </w:r>
      <w:r w:rsidR="0065009A" w:rsidRPr="00AC0DAF">
        <w:rPr>
          <w:rStyle w:val="sb8d990e2"/>
          <w:lang w:val="fr-FR"/>
        </w:rPr>
        <w:t>à l</w:t>
      </w:r>
      <w:r w:rsidR="00603708">
        <w:rPr>
          <w:rStyle w:val="sb8d990e2"/>
          <w:lang w:val="fr-FR"/>
        </w:rPr>
        <w:t>’</w:t>
      </w:r>
      <w:r w:rsidR="0065009A" w:rsidRPr="00AC0DAF">
        <w:rPr>
          <w:rStyle w:val="sb8d990e2"/>
          <w:lang w:val="fr-FR"/>
        </w:rPr>
        <w:t>instar de</w:t>
      </w:r>
      <w:r w:rsidR="0066431B">
        <w:rPr>
          <w:rStyle w:val="sb8d990e2"/>
          <w:lang w:val="fr-FR"/>
        </w:rPr>
        <w:t xml:space="preserve"> ceux relatés dan</w:t>
      </w:r>
      <w:r w:rsidR="0065009A" w:rsidRPr="00AC0DAF">
        <w:rPr>
          <w:rStyle w:val="sb8d990e2"/>
          <w:lang w:val="fr-FR"/>
        </w:rPr>
        <w:t>s</w:t>
      </w:r>
      <w:r w:rsidR="0066431B">
        <w:rPr>
          <w:rStyle w:val="sb8d990e2"/>
          <w:lang w:val="fr-FR"/>
        </w:rPr>
        <w:t xml:space="preserve"> les</w:t>
      </w:r>
      <w:r w:rsidR="0065009A" w:rsidRPr="00AC0DAF">
        <w:rPr>
          <w:rStyle w:val="sb8d990e2"/>
          <w:lang w:val="fr-FR"/>
        </w:rPr>
        <w:t xml:space="preserve"> affaires </w:t>
      </w:r>
      <w:r w:rsidR="0065009A" w:rsidRPr="00AC0DAF">
        <w:rPr>
          <w:i/>
          <w:lang w:val="fr-FR"/>
        </w:rPr>
        <w:t>Vladimir Romanov</w:t>
      </w:r>
      <w:r w:rsidR="0065009A" w:rsidRPr="00AC0DAF">
        <w:rPr>
          <w:lang w:val="fr-FR"/>
        </w:rPr>
        <w:t xml:space="preserve"> (précitée, § 68) et </w:t>
      </w:r>
      <w:r w:rsidR="0065009A" w:rsidRPr="00AC0DAF">
        <w:rPr>
          <w:i/>
          <w:lang w:val="fr-FR"/>
        </w:rPr>
        <w:t>Dedovsk</w:t>
      </w:r>
      <w:r w:rsidR="00904D38">
        <w:rPr>
          <w:i/>
          <w:lang w:val="fr-FR"/>
        </w:rPr>
        <w:t>i</w:t>
      </w:r>
      <w:r w:rsidR="0065009A" w:rsidRPr="00AC0DAF">
        <w:rPr>
          <w:i/>
          <w:lang w:val="fr-FR"/>
        </w:rPr>
        <w:t xml:space="preserve"> et autres</w:t>
      </w:r>
      <w:r w:rsidR="0065009A" w:rsidRPr="00AC0DAF">
        <w:rPr>
          <w:lang w:val="fr-FR"/>
        </w:rPr>
        <w:t xml:space="preserve"> </w:t>
      </w:r>
      <w:r w:rsidR="0065009A" w:rsidRPr="008D3288">
        <w:rPr>
          <w:lang w:val="fr-FR"/>
        </w:rPr>
        <w:t xml:space="preserve">(précitée, §§ 83-85), ils </w:t>
      </w:r>
      <w:r w:rsidR="001104A2" w:rsidRPr="008D3288">
        <w:rPr>
          <w:rStyle w:val="sb8d990e2"/>
          <w:lang w:val="fr-FR"/>
        </w:rPr>
        <w:t>ne</w:t>
      </w:r>
      <w:r w:rsidR="00B503F2" w:rsidRPr="008D3288">
        <w:rPr>
          <w:rStyle w:val="sb8d990e2"/>
          <w:lang w:val="fr-FR"/>
        </w:rPr>
        <w:t xml:space="preserve"> </w:t>
      </w:r>
      <w:r w:rsidR="005329F9" w:rsidRPr="008D3288">
        <w:rPr>
          <w:rStyle w:val="sb8d990e2"/>
          <w:lang w:val="fr-FR"/>
        </w:rPr>
        <w:t xml:space="preserve">sauraient </w:t>
      </w:r>
      <w:r w:rsidR="00BE2F93" w:rsidRPr="008D3288">
        <w:rPr>
          <w:rStyle w:val="sb8d990e2"/>
          <w:lang w:val="fr-FR"/>
        </w:rPr>
        <w:t>passer pour être</w:t>
      </w:r>
      <w:r w:rsidR="005329F9" w:rsidRPr="008D3288">
        <w:rPr>
          <w:rStyle w:val="sb8d990e2"/>
          <w:lang w:val="fr-FR"/>
        </w:rPr>
        <w:t xml:space="preserve"> un </w:t>
      </w:r>
      <w:r w:rsidR="00F610E7" w:rsidRPr="008D3288">
        <w:rPr>
          <w:rStyle w:val="sb8d990e2"/>
          <w:lang w:val="fr-FR"/>
        </w:rPr>
        <w:t>moyen</w:t>
      </w:r>
      <w:r w:rsidR="005329F9" w:rsidRPr="008D3288">
        <w:rPr>
          <w:rStyle w:val="sb8d990e2"/>
          <w:lang w:val="fr-FR"/>
        </w:rPr>
        <w:t xml:space="preserve"> </w:t>
      </w:r>
      <w:r w:rsidR="0091195A" w:rsidRPr="008D3288">
        <w:rPr>
          <w:rStyle w:val="sb8d990e2"/>
          <w:lang w:val="fr-FR"/>
        </w:rPr>
        <w:t xml:space="preserve">utilisé de manière </w:t>
      </w:r>
      <w:r w:rsidR="005329F9" w:rsidRPr="008D3288">
        <w:rPr>
          <w:rStyle w:val="sb8d990e2"/>
          <w:lang w:val="fr-FR"/>
        </w:rPr>
        <w:t>proportionné</w:t>
      </w:r>
      <w:r w:rsidR="0091195A" w:rsidRPr="008D3288">
        <w:rPr>
          <w:rStyle w:val="sb8d990e2"/>
          <w:lang w:val="fr-FR"/>
        </w:rPr>
        <w:t>e</w:t>
      </w:r>
      <w:r w:rsidR="00F610E7" w:rsidRPr="008D3288">
        <w:rPr>
          <w:rStyle w:val="sb8d990e2"/>
          <w:lang w:val="fr-FR"/>
        </w:rPr>
        <w:t xml:space="preserve"> par les autorités</w:t>
      </w:r>
      <w:r w:rsidR="005329F9" w:rsidRPr="008D3288">
        <w:rPr>
          <w:rStyle w:val="sb8d990e2"/>
          <w:lang w:val="fr-FR"/>
        </w:rPr>
        <w:t xml:space="preserve"> pour atteindre</w:t>
      </w:r>
      <w:r w:rsidR="001104A2" w:rsidRPr="008D3288">
        <w:rPr>
          <w:rStyle w:val="sb8d990e2"/>
          <w:lang w:val="fr-FR"/>
        </w:rPr>
        <w:t xml:space="preserve"> </w:t>
      </w:r>
      <w:r w:rsidR="001276C7" w:rsidRPr="008D3288">
        <w:rPr>
          <w:rStyle w:val="sb8d990e2"/>
          <w:lang w:val="fr-FR"/>
        </w:rPr>
        <w:t xml:space="preserve">le but </w:t>
      </w:r>
      <w:r w:rsidR="005329F9" w:rsidRPr="008D3288">
        <w:rPr>
          <w:rStyle w:val="sb8d990e2"/>
          <w:lang w:val="fr-FR"/>
        </w:rPr>
        <w:t>visé</w:t>
      </w:r>
      <w:r w:rsidR="001276C7" w:rsidRPr="008D3288">
        <w:rPr>
          <w:lang w:val="fr-FR"/>
        </w:rPr>
        <w:t>.</w:t>
      </w:r>
    </w:p>
    <w:p w:rsidR="0032468C" w:rsidRDefault="001276C7" w:rsidP="00825C5B">
      <w:pPr>
        <w:pStyle w:val="ECHRPara"/>
        <w:tabs>
          <w:tab w:val="num" w:pos="780"/>
        </w:tabs>
        <w:ind w:firstLine="360"/>
        <w:rPr>
          <w:lang w:val="fr-FR"/>
        </w:rPr>
      </w:pPr>
      <w:r w:rsidRPr="008D3288">
        <w:rPr>
          <w:rFonts w:cstheme="minorHAnsi"/>
          <w:lang w:val="fr-FR"/>
        </w:rPr>
        <w:t>À</w:t>
      </w:r>
      <w:r w:rsidRPr="008D3288">
        <w:rPr>
          <w:lang w:val="fr-FR"/>
        </w:rPr>
        <w:t xml:space="preserve"> ce</w:t>
      </w:r>
      <w:r w:rsidR="00166D64" w:rsidRPr="008D3288">
        <w:rPr>
          <w:lang w:val="fr-FR"/>
        </w:rPr>
        <w:t xml:space="preserve"> </w:t>
      </w:r>
      <w:r w:rsidRPr="008D3288">
        <w:rPr>
          <w:lang w:val="fr-FR"/>
        </w:rPr>
        <w:t xml:space="preserve">propos, il </w:t>
      </w:r>
      <w:r w:rsidR="00BE2F93" w:rsidRPr="008D3288">
        <w:rPr>
          <w:lang w:val="fr-FR"/>
        </w:rPr>
        <w:t xml:space="preserve">y a lieu </w:t>
      </w:r>
      <w:r w:rsidRPr="008D3288">
        <w:rPr>
          <w:lang w:val="fr-FR"/>
        </w:rPr>
        <w:t xml:space="preserve">de </w:t>
      </w:r>
      <w:r w:rsidR="0094206D" w:rsidRPr="008D3288">
        <w:rPr>
          <w:lang w:val="fr-FR"/>
        </w:rPr>
        <w:t>rappeler que l</w:t>
      </w:r>
      <w:r w:rsidR="00603708">
        <w:rPr>
          <w:lang w:val="fr-FR"/>
        </w:rPr>
        <w:t>’</w:t>
      </w:r>
      <w:r w:rsidR="00F610E7" w:rsidRPr="008D3288">
        <w:rPr>
          <w:lang w:val="fr-FR"/>
        </w:rPr>
        <w:t>irruption</w:t>
      </w:r>
      <w:r w:rsidR="00825C5B" w:rsidRPr="008D3288">
        <w:rPr>
          <w:lang w:val="fr-FR"/>
        </w:rPr>
        <w:t xml:space="preserve"> dans</w:t>
      </w:r>
      <w:r w:rsidR="0094206D" w:rsidRPr="008D3288">
        <w:rPr>
          <w:lang w:val="fr-FR"/>
        </w:rPr>
        <w:t xml:space="preserve"> l</w:t>
      </w:r>
      <w:r w:rsidR="00603708">
        <w:rPr>
          <w:lang w:val="fr-FR"/>
        </w:rPr>
        <w:t>’</w:t>
      </w:r>
      <w:r w:rsidR="0094206D" w:rsidRPr="008D3288">
        <w:rPr>
          <w:lang w:val="fr-FR"/>
        </w:rPr>
        <w:t>école Diaz-Pertini éta</w:t>
      </w:r>
      <w:r w:rsidR="00825C5B" w:rsidRPr="008D3288">
        <w:rPr>
          <w:lang w:val="fr-FR"/>
        </w:rPr>
        <w:t>i</w:t>
      </w:r>
      <w:r w:rsidR="0094206D" w:rsidRPr="008D3288">
        <w:rPr>
          <w:lang w:val="fr-FR"/>
        </w:rPr>
        <w:t xml:space="preserve">t </w:t>
      </w:r>
      <w:r w:rsidRPr="008D3288">
        <w:rPr>
          <w:lang w:val="fr-FR"/>
        </w:rPr>
        <w:t xml:space="preserve">censée </w:t>
      </w:r>
      <w:r w:rsidR="00825C5B" w:rsidRPr="008D3288">
        <w:rPr>
          <w:lang w:val="fr-FR"/>
        </w:rPr>
        <w:t xml:space="preserve">être une perquisition : </w:t>
      </w:r>
      <w:r w:rsidR="0094206D" w:rsidRPr="008D3288">
        <w:rPr>
          <w:lang w:val="fr-FR"/>
        </w:rPr>
        <w:t xml:space="preserve">la police aurait dû </w:t>
      </w:r>
      <w:r w:rsidR="00825C5B" w:rsidRPr="008D3288">
        <w:rPr>
          <w:lang w:val="fr-FR"/>
        </w:rPr>
        <w:t>entrer dans</w:t>
      </w:r>
      <w:r w:rsidR="00825C5B" w:rsidRPr="004A51F8">
        <w:rPr>
          <w:lang w:val="fr-FR"/>
        </w:rPr>
        <w:t xml:space="preserve"> l</w:t>
      </w:r>
      <w:r w:rsidR="00603708">
        <w:rPr>
          <w:lang w:val="fr-FR"/>
        </w:rPr>
        <w:t>’</w:t>
      </w:r>
      <w:r w:rsidR="00825C5B" w:rsidRPr="004A51F8">
        <w:rPr>
          <w:lang w:val="fr-FR"/>
        </w:rPr>
        <w:t>école, où le requérant et les autres occupants s</w:t>
      </w:r>
      <w:r w:rsidR="00603708">
        <w:rPr>
          <w:lang w:val="fr-FR"/>
        </w:rPr>
        <w:t>’</w:t>
      </w:r>
      <w:r w:rsidR="003B19DE">
        <w:rPr>
          <w:lang w:val="fr-FR"/>
        </w:rPr>
        <w:t xml:space="preserve">étaient </w:t>
      </w:r>
      <w:r w:rsidR="00825C5B" w:rsidRPr="004A51F8">
        <w:rPr>
          <w:lang w:val="fr-FR"/>
        </w:rPr>
        <w:t>abrit</w:t>
      </w:r>
      <w:r w:rsidR="003B19DE">
        <w:rPr>
          <w:lang w:val="fr-FR"/>
        </w:rPr>
        <w:t>és</w:t>
      </w:r>
      <w:r w:rsidR="00825C5B" w:rsidRPr="004A51F8">
        <w:rPr>
          <w:lang w:val="fr-FR"/>
        </w:rPr>
        <w:t xml:space="preserve"> légitimement,</w:t>
      </w:r>
      <w:r w:rsidR="00825C5B">
        <w:rPr>
          <w:lang w:val="fr-FR"/>
        </w:rPr>
        <w:t xml:space="preserve"> </w:t>
      </w:r>
      <w:r w:rsidR="00D06F08">
        <w:rPr>
          <w:lang w:val="fr-FR"/>
        </w:rPr>
        <w:t xml:space="preserve">pour </w:t>
      </w:r>
      <w:r w:rsidR="00825C5B" w:rsidRPr="004A51F8">
        <w:rPr>
          <w:lang w:val="fr-FR"/>
        </w:rPr>
        <w:t xml:space="preserve">rechercher des éléments de preuve pouvant conduire à </w:t>
      </w:r>
      <w:r w:rsidR="001F2C36">
        <w:rPr>
          <w:lang w:val="fr-FR"/>
        </w:rPr>
        <w:t>l</w:t>
      </w:r>
      <w:r w:rsidR="00603708">
        <w:rPr>
          <w:lang w:val="fr-FR"/>
        </w:rPr>
        <w:t>’</w:t>
      </w:r>
      <w:r w:rsidR="00825C5B" w:rsidRPr="004A51F8">
        <w:rPr>
          <w:lang w:val="fr-FR"/>
        </w:rPr>
        <w:t>identifi</w:t>
      </w:r>
      <w:r w:rsidR="001F2C36">
        <w:rPr>
          <w:lang w:val="fr-FR"/>
        </w:rPr>
        <w:t>cation d</w:t>
      </w:r>
      <w:r w:rsidR="00825C5B" w:rsidRPr="004A51F8">
        <w:rPr>
          <w:lang w:val="fr-FR"/>
        </w:rPr>
        <w:t xml:space="preserve">es </w:t>
      </w:r>
      <w:r w:rsidR="001F2C36">
        <w:rPr>
          <w:lang w:val="fr-FR"/>
        </w:rPr>
        <w:t xml:space="preserve">membres des </w:t>
      </w:r>
      <w:r w:rsidR="0076150B">
        <w:rPr>
          <w:lang w:val="fr-FR"/>
        </w:rPr>
        <w:t>black blocks</w:t>
      </w:r>
      <w:r w:rsidR="0004234C">
        <w:rPr>
          <w:lang w:val="fr-FR"/>
        </w:rPr>
        <w:t>,</w:t>
      </w:r>
      <w:r w:rsidR="00825C5B" w:rsidRPr="004A51F8">
        <w:rPr>
          <w:i/>
          <w:lang w:val="fr-FR"/>
        </w:rPr>
        <w:t xml:space="preserve"> </w:t>
      </w:r>
      <w:r w:rsidR="00825C5B" w:rsidRPr="004A51F8">
        <w:rPr>
          <w:lang w:val="fr-FR"/>
        </w:rPr>
        <w:t xml:space="preserve">auteurs des </w:t>
      </w:r>
      <w:r w:rsidR="0088089A">
        <w:rPr>
          <w:lang w:val="fr-FR"/>
        </w:rPr>
        <w:t>saccages</w:t>
      </w:r>
      <w:r w:rsidR="0088089A" w:rsidRPr="004A51F8">
        <w:rPr>
          <w:lang w:val="fr-FR"/>
        </w:rPr>
        <w:t xml:space="preserve"> </w:t>
      </w:r>
      <w:r w:rsidR="00825C5B" w:rsidRPr="004A51F8">
        <w:rPr>
          <w:lang w:val="fr-FR"/>
        </w:rPr>
        <w:t>dans la ville</w:t>
      </w:r>
      <w:r w:rsidR="0004234C">
        <w:rPr>
          <w:lang w:val="fr-FR"/>
        </w:rPr>
        <w:t>,</w:t>
      </w:r>
      <w:r w:rsidR="00825C5B" w:rsidRPr="004A51F8">
        <w:rPr>
          <w:lang w:val="fr-FR"/>
        </w:rPr>
        <w:t xml:space="preserve"> et</w:t>
      </w:r>
      <w:r w:rsidR="00D06F08">
        <w:rPr>
          <w:lang w:val="fr-FR"/>
        </w:rPr>
        <w:t>, le cas échéant,</w:t>
      </w:r>
      <w:r w:rsidR="00825C5B" w:rsidRPr="004A51F8">
        <w:rPr>
          <w:lang w:val="fr-FR"/>
        </w:rPr>
        <w:t xml:space="preserve"> à l</w:t>
      </w:r>
      <w:r w:rsidR="003B19DE">
        <w:rPr>
          <w:lang w:val="fr-FR"/>
        </w:rPr>
        <w:t xml:space="preserve">eur </w:t>
      </w:r>
      <w:r w:rsidR="00825C5B" w:rsidRPr="004A51F8">
        <w:rPr>
          <w:lang w:val="fr-FR"/>
        </w:rPr>
        <w:t>arrestation</w:t>
      </w:r>
      <w:r w:rsidR="001104A2">
        <w:rPr>
          <w:lang w:val="fr-FR"/>
        </w:rPr>
        <w:t xml:space="preserve"> (</w:t>
      </w:r>
      <w:r w:rsidR="002577E9" w:rsidRPr="00AC0DAF">
        <w:rPr>
          <w:lang w:val="fr-FR"/>
        </w:rPr>
        <w:t>paragraphe 29</w:t>
      </w:r>
      <w:r w:rsidR="001104A2" w:rsidRPr="00AC0DAF">
        <w:rPr>
          <w:lang w:val="fr-FR"/>
        </w:rPr>
        <w:t xml:space="preserve"> ci-dessus</w:t>
      </w:r>
      <w:r w:rsidR="001104A2">
        <w:rPr>
          <w:lang w:val="fr-FR"/>
        </w:rPr>
        <w:t>)</w:t>
      </w:r>
      <w:r w:rsidR="00825C5B" w:rsidRPr="004A51F8">
        <w:rPr>
          <w:lang w:val="fr-FR"/>
        </w:rPr>
        <w:t>.</w:t>
      </w:r>
    </w:p>
    <w:p w:rsidR="00825C5B" w:rsidRPr="004A51F8" w:rsidRDefault="00825C5B" w:rsidP="00825C5B">
      <w:pPr>
        <w:pStyle w:val="ECHRPara"/>
        <w:tabs>
          <w:tab w:val="num" w:pos="780"/>
        </w:tabs>
        <w:ind w:firstLine="360"/>
        <w:rPr>
          <w:lang w:val="fr-FR"/>
        </w:rPr>
      </w:pPr>
      <w:r>
        <w:rPr>
          <w:lang w:val="fr-FR"/>
        </w:rPr>
        <w:t>Or, a</w:t>
      </w:r>
      <w:r w:rsidRPr="004A51F8">
        <w:rPr>
          <w:lang w:val="fr-FR"/>
        </w:rPr>
        <w:t xml:space="preserve">u-delà de </w:t>
      </w:r>
      <w:r w:rsidR="005C1DE4">
        <w:rPr>
          <w:lang w:val="fr-FR"/>
        </w:rPr>
        <w:t>toute considération sur les indices concernant la</w:t>
      </w:r>
      <w:r w:rsidRPr="004A51F8">
        <w:rPr>
          <w:lang w:val="fr-FR"/>
        </w:rPr>
        <w:t xml:space="preserve"> présence de </w:t>
      </w:r>
      <w:r w:rsidR="0076150B">
        <w:rPr>
          <w:lang w:val="fr-FR"/>
        </w:rPr>
        <w:t>black blocks</w:t>
      </w:r>
      <w:r w:rsidRPr="004A51F8">
        <w:rPr>
          <w:lang w:val="fr-FR"/>
        </w:rPr>
        <w:t xml:space="preserve"> dans l</w:t>
      </w:r>
      <w:r w:rsidR="00603708">
        <w:rPr>
          <w:lang w:val="fr-FR"/>
        </w:rPr>
        <w:t>’</w:t>
      </w:r>
      <w:r w:rsidRPr="004A51F8">
        <w:rPr>
          <w:lang w:val="fr-FR"/>
        </w:rPr>
        <w:t>école Diaz-Pertini le soir du 21 juillet (</w:t>
      </w:r>
      <w:r w:rsidR="00D41709" w:rsidRPr="00AC0DAF">
        <w:rPr>
          <w:lang w:val="fr-FR"/>
        </w:rPr>
        <w:t>paragraphes</w:t>
      </w:r>
      <w:r w:rsidR="005C1DE4" w:rsidRPr="00AC0DAF">
        <w:rPr>
          <w:lang w:val="fr-FR"/>
        </w:rPr>
        <w:t xml:space="preserve"> 51 et 63</w:t>
      </w:r>
      <w:r w:rsidRPr="00AC0DAF">
        <w:rPr>
          <w:lang w:val="fr-FR"/>
        </w:rPr>
        <w:t xml:space="preserve"> </w:t>
      </w:r>
      <w:r w:rsidR="00D41709" w:rsidRPr="00AC0DAF">
        <w:rPr>
          <w:lang w:val="fr-FR"/>
        </w:rPr>
        <w:t>ci-dessus</w:t>
      </w:r>
      <w:r w:rsidRPr="0066431B">
        <w:rPr>
          <w:lang w:val="fr-FR"/>
        </w:rPr>
        <w:t>)</w:t>
      </w:r>
      <w:r w:rsidRPr="004A51F8">
        <w:rPr>
          <w:lang w:val="fr-FR"/>
        </w:rPr>
        <w:t>,</w:t>
      </w:r>
      <w:r>
        <w:rPr>
          <w:lang w:val="fr-FR"/>
        </w:rPr>
        <w:t xml:space="preserve"> l</w:t>
      </w:r>
      <w:r w:rsidR="00D41709">
        <w:rPr>
          <w:lang w:val="fr-FR"/>
        </w:rPr>
        <w:t>es modalités opérationnelles suivie</w:t>
      </w:r>
      <w:r w:rsidR="00753659">
        <w:rPr>
          <w:lang w:val="fr-FR"/>
        </w:rPr>
        <w:t>s</w:t>
      </w:r>
      <w:r w:rsidR="00D41709">
        <w:rPr>
          <w:lang w:val="fr-FR"/>
        </w:rPr>
        <w:t xml:space="preserve"> </w:t>
      </w:r>
      <w:r w:rsidR="00D41709">
        <w:rPr>
          <w:i/>
          <w:lang w:val="fr-FR"/>
        </w:rPr>
        <w:t>in concreto</w:t>
      </w:r>
      <w:r>
        <w:rPr>
          <w:lang w:val="fr-FR"/>
        </w:rPr>
        <w:t xml:space="preserve"> </w:t>
      </w:r>
      <w:r w:rsidR="00D41709">
        <w:rPr>
          <w:lang w:val="fr-FR"/>
        </w:rPr>
        <w:t xml:space="preserve">ne sont </w:t>
      </w:r>
      <w:r w:rsidR="004A1A49">
        <w:rPr>
          <w:lang w:val="fr-FR"/>
        </w:rPr>
        <w:t xml:space="preserve">pas </w:t>
      </w:r>
      <w:r w:rsidR="00D41709">
        <w:rPr>
          <w:lang w:val="fr-FR"/>
        </w:rPr>
        <w:t xml:space="preserve">cohérentes avec le but déclaré par les autorités : la </w:t>
      </w:r>
      <w:r w:rsidRPr="004A51F8">
        <w:rPr>
          <w:lang w:val="fr-FR"/>
        </w:rPr>
        <w:t>police a fait irruption en enfonçant la grille et l</w:t>
      </w:r>
      <w:r w:rsidR="00356B07">
        <w:rPr>
          <w:lang w:val="fr-FR"/>
        </w:rPr>
        <w:t>es portes d</w:t>
      </w:r>
      <w:r w:rsidR="00603708">
        <w:rPr>
          <w:lang w:val="fr-FR"/>
        </w:rPr>
        <w:t>’</w:t>
      </w:r>
      <w:r w:rsidRPr="004A51F8">
        <w:rPr>
          <w:lang w:val="fr-FR"/>
        </w:rPr>
        <w:t>entrée</w:t>
      </w:r>
      <w:r w:rsidR="00B503F2">
        <w:rPr>
          <w:lang w:val="fr-FR"/>
        </w:rPr>
        <w:t xml:space="preserve"> de l</w:t>
      </w:r>
      <w:r w:rsidR="00603708">
        <w:rPr>
          <w:lang w:val="fr-FR"/>
        </w:rPr>
        <w:t>’</w:t>
      </w:r>
      <w:r w:rsidR="00B503F2">
        <w:rPr>
          <w:lang w:val="fr-FR"/>
        </w:rPr>
        <w:t>école</w:t>
      </w:r>
      <w:r w:rsidRPr="004A51F8">
        <w:rPr>
          <w:lang w:val="fr-FR"/>
        </w:rPr>
        <w:t xml:space="preserve">, a </w:t>
      </w:r>
      <w:r w:rsidR="0088089A">
        <w:rPr>
          <w:lang w:val="fr-FR"/>
        </w:rPr>
        <w:t xml:space="preserve">passé à </w:t>
      </w:r>
      <w:r w:rsidRPr="004A51F8">
        <w:rPr>
          <w:lang w:val="fr-FR"/>
        </w:rPr>
        <w:t>taba</w:t>
      </w:r>
      <w:r w:rsidR="0088089A">
        <w:rPr>
          <w:lang w:val="fr-FR"/>
        </w:rPr>
        <w:t>c</w:t>
      </w:r>
      <w:r w:rsidR="00B503F2">
        <w:rPr>
          <w:lang w:val="fr-FR"/>
        </w:rPr>
        <w:t xml:space="preserve"> </w:t>
      </w:r>
      <w:r w:rsidR="0066431B">
        <w:rPr>
          <w:lang w:val="fr-FR"/>
        </w:rPr>
        <w:t>presque tous les</w:t>
      </w:r>
      <w:r w:rsidR="00B503F2">
        <w:rPr>
          <w:lang w:val="fr-FR"/>
        </w:rPr>
        <w:t xml:space="preserve"> occupants et</w:t>
      </w:r>
      <w:r w:rsidRPr="004A51F8">
        <w:rPr>
          <w:lang w:val="fr-FR"/>
        </w:rPr>
        <w:t xml:space="preserve"> a ramassé leurs effets personnels, sans même chercher </w:t>
      </w:r>
      <w:r w:rsidR="0066431B">
        <w:rPr>
          <w:lang w:val="fr-FR"/>
        </w:rPr>
        <w:t xml:space="preserve">à </w:t>
      </w:r>
      <w:r w:rsidRPr="004A51F8">
        <w:rPr>
          <w:lang w:val="fr-FR"/>
        </w:rPr>
        <w:t>en identifier les propriétaires respectifs. Ces circonstances, du reste, comptent parmi les raisons pour lesquelles</w:t>
      </w:r>
      <w:r w:rsidR="0088089A">
        <w:rPr>
          <w:lang w:val="fr-FR"/>
        </w:rPr>
        <w:t>,</w:t>
      </w:r>
      <w:r w:rsidRPr="004A51F8">
        <w:rPr>
          <w:lang w:val="fr-FR"/>
        </w:rPr>
        <w:t xml:space="preserve"> </w:t>
      </w:r>
      <w:r w:rsidR="0066431B">
        <w:rPr>
          <w:lang w:val="fr-FR"/>
        </w:rPr>
        <w:t>dans sa décision</w:t>
      </w:r>
      <w:r>
        <w:rPr>
          <w:lang w:val="fr-FR"/>
        </w:rPr>
        <w:t>, confirmé</w:t>
      </w:r>
      <w:r w:rsidR="0066431B">
        <w:rPr>
          <w:lang w:val="fr-FR"/>
        </w:rPr>
        <w:t>e</w:t>
      </w:r>
      <w:r>
        <w:rPr>
          <w:lang w:val="fr-FR"/>
        </w:rPr>
        <w:t xml:space="preserve"> par la Cour de cassation,</w:t>
      </w:r>
      <w:r w:rsidR="0066431B">
        <w:rPr>
          <w:lang w:val="fr-FR"/>
        </w:rPr>
        <w:t xml:space="preserve"> la cour d</w:t>
      </w:r>
      <w:r w:rsidR="00603708">
        <w:rPr>
          <w:lang w:val="fr-FR"/>
        </w:rPr>
        <w:t>’</w:t>
      </w:r>
      <w:r w:rsidR="0066431B">
        <w:rPr>
          <w:lang w:val="fr-FR"/>
        </w:rPr>
        <w:t>appel</w:t>
      </w:r>
      <w:r w:rsidRPr="004A51F8">
        <w:rPr>
          <w:lang w:val="fr-FR"/>
        </w:rPr>
        <w:t xml:space="preserve"> a estimé illégale, et donc constitutive du délit d</w:t>
      </w:r>
      <w:r w:rsidR="00603708">
        <w:rPr>
          <w:lang w:val="fr-FR"/>
        </w:rPr>
        <w:t>’</w:t>
      </w:r>
      <w:r w:rsidRPr="004A51F8">
        <w:rPr>
          <w:lang w:val="fr-FR"/>
        </w:rPr>
        <w:t>abus de fonction publique, l</w:t>
      </w:r>
      <w:r w:rsidR="00603708">
        <w:rPr>
          <w:lang w:val="fr-FR"/>
        </w:rPr>
        <w:t>’</w:t>
      </w:r>
      <w:r w:rsidRPr="004A51F8">
        <w:rPr>
          <w:lang w:val="fr-FR"/>
        </w:rPr>
        <w:t>arrestation des occupants de l</w:t>
      </w:r>
      <w:r w:rsidR="00603708">
        <w:rPr>
          <w:lang w:val="fr-FR"/>
        </w:rPr>
        <w:t>’</w:t>
      </w:r>
      <w:r w:rsidRPr="004A51F8">
        <w:rPr>
          <w:lang w:val="fr-FR"/>
        </w:rPr>
        <w:t xml:space="preserve">école Diaz-Pertini </w:t>
      </w:r>
      <w:r w:rsidRPr="0066431B">
        <w:rPr>
          <w:lang w:val="fr-FR"/>
        </w:rPr>
        <w:t>(</w:t>
      </w:r>
      <w:r w:rsidR="00D41709" w:rsidRPr="00AC0DAF">
        <w:rPr>
          <w:lang w:val="fr-FR"/>
        </w:rPr>
        <w:t>paragraphes</w:t>
      </w:r>
      <w:r w:rsidRPr="00AC0DAF">
        <w:rPr>
          <w:lang w:val="fr-FR"/>
        </w:rPr>
        <w:t xml:space="preserve"> </w:t>
      </w:r>
      <w:r w:rsidR="005C1DE4" w:rsidRPr="00AC0DAF">
        <w:rPr>
          <w:lang w:val="fr-FR"/>
        </w:rPr>
        <w:t>33-34</w:t>
      </w:r>
      <w:r w:rsidRPr="00AC0DAF">
        <w:rPr>
          <w:lang w:val="fr-FR"/>
        </w:rPr>
        <w:t xml:space="preserve">, </w:t>
      </w:r>
      <w:r w:rsidR="005C1DE4" w:rsidRPr="00AC0DAF">
        <w:rPr>
          <w:lang w:val="fr-FR"/>
        </w:rPr>
        <w:t>38-39</w:t>
      </w:r>
      <w:r w:rsidRPr="00AC0DAF">
        <w:rPr>
          <w:lang w:val="fr-FR"/>
        </w:rPr>
        <w:t xml:space="preserve">, </w:t>
      </w:r>
      <w:r w:rsidR="005C1DE4" w:rsidRPr="00AC0DAF">
        <w:rPr>
          <w:lang w:val="fr-FR"/>
        </w:rPr>
        <w:t>72</w:t>
      </w:r>
      <w:r w:rsidR="00D41709" w:rsidRPr="00AC0DAF">
        <w:rPr>
          <w:lang w:val="fr-FR"/>
        </w:rPr>
        <w:t xml:space="preserve"> ci-dessus</w:t>
      </w:r>
      <w:r w:rsidRPr="004A51F8">
        <w:rPr>
          <w:lang w:val="fr-FR"/>
        </w:rPr>
        <w:t>).</w:t>
      </w:r>
    </w:p>
    <w:p w:rsidR="0032468C" w:rsidRDefault="00D06F08" w:rsidP="00D06F08">
      <w:pPr>
        <w:ind w:firstLine="284"/>
        <w:outlineLvl w:val="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183</w:t>
      </w:r>
      <w:r>
        <w:rPr>
          <w:lang w:val="fr-FR"/>
        </w:rPr>
        <w:fldChar w:fldCharType="end"/>
      </w:r>
      <w:r>
        <w:rPr>
          <w:lang w:val="fr-FR"/>
        </w:rPr>
        <w:t>.  </w:t>
      </w:r>
      <w:r w:rsidR="0066431B">
        <w:rPr>
          <w:lang w:val="fr-FR"/>
        </w:rPr>
        <w:t>L</w:t>
      </w:r>
      <w:r w:rsidR="00603708">
        <w:rPr>
          <w:lang w:val="fr-FR"/>
        </w:rPr>
        <w:t>’</w:t>
      </w:r>
      <w:r w:rsidR="0066431B">
        <w:rPr>
          <w:lang w:val="fr-FR"/>
        </w:rPr>
        <w:t xml:space="preserve">opération litigieuse </w:t>
      </w:r>
      <w:r w:rsidRPr="004A51F8">
        <w:rPr>
          <w:lang w:val="fr-FR"/>
        </w:rPr>
        <w:t xml:space="preserve">devait être </w:t>
      </w:r>
      <w:r w:rsidR="0088089A">
        <w:rPr>
          <w:lang w:val="fr-FR"/>
        </w:rPr>
        <w:t>conduite</w:t>
      </w:r>
      <w:r w:rsidR="0088089A" w:rsidRPr="004A51F8">
        <w:rPr>
          <w:lang w:val="fr-FR"/>
        </w:rPr>
        <w:t xml:space="preserve"> </w:t>
      </w:r>
      <w:r w:rsidRPr="004A51F8">
        <w:rPr>
          <w:lang w:val="fr-FR"/>
        </w:rPr>
        <w:t>par une formation constituée majoritairement d</w:t>
      </w:r>
      <w:r w:rsidR="00603708">
        <w:rPr>
          <w:lang w:val="fr-FR"/>
        </w:rPr>
        <w:t>’</w:t>
      </w:r>
      <w:r w:rsidRPr="004A51F8">
        <w:rPr>
          <w:lang w:val="fr-FR"/>
        </w:rPr>
        <w:t>agents appartenant à une division spécialisée dans les opérations « anti-émeute » (</w:t>
      </w:r>
      <w:r w:rsidRPr="00AC0DAF">
        <w:rPr>
          <w:lang w:val="fr-FR"/>
        </w:rPr>
        <w:t xml:space="preserve">paragraphe </w:t>
      </w:r>
      <w:r w:rsidR="005C1DE4" w:rsidRPr="00AC0DAF">
        <w:rPr>
          <w:lang w:val="fr-FR"/>
        </w:rPr>
        <w:t>29</w:t>
      </w:r>
      <w:r w:rsidRPr="00AC0DAF">
        <w:rPr>
          <w:lang w:val="fr-FR"/>
        </w:rPr>
        <w:t xml:space="preserve"> ci-dessus</w:t>
      </w:r>
      <w:r>
        <w:rPr>
          <w:lang w:val="fr-FR"/>
        </w:rPr>
        <w:t>). C</w:t>
      </w:r>
      <w:r w:rsidRPr="004A51F8">
        <w:rPr>
          <w:lang w:val="fr-FR"/>
        </w:rPr>
        <w:t>ette</w:t>
      </w:r>
      <w:r w:rsidR="0024191A">
        <w:rPr>
          <w:lang w:val="fr-FR"/>
        </w:rPr>
        <w:t> </w:t>
      </w:r>
      <w:r w:rsidRPr="004A51F8">
        <w:rPr>
          <w:lang w:val="fr-FR"/>
        </w:rPr>
        <w:t>f</w:t>
      </w:r>
      <w:r>
        <w:rPr>
          <w:lang w:val="fr-FR"/>
        </w:rPr>
        <w:t>ormation</w:t>
      </w:r>
      <w:r w:rsidR="000234EA">
        <w:rPr>
          <w:lang w:val="fr-FR"/>
        </w:rPr>
        <w:t>, selon les explications des autorités,</w:t>
      </w:r>
      <w:r>
        <w:rPr>
          <w:lang w:val="fr-FR"/>
        </w:rPr>
        <w:t xml:space="preserve"> devait « sécuriser » le</w:t>
      </w:r>
      <w:r w:rsidR="0024191A">
        <w:rPr>
          <w:lang w:val="fr-FR"/>
        </w:rPr>
        <w:t> </w:t>
      </w:r>
      <w:r w:rsidRPr="004A51F8">
        <w:rPr>
          <w:lang w:val="fr-FR"/>
        </w:rPr>
        <w:t xml:space="preserve">bâtiment, </w:t>
      </w:r>
      <w:r w:rsidR="00375632">
        <w:rPr>
          <w:lang w:val="fr-FR"/>
        </w:rPr>
        <w:t>c</w:t>
      </w:r>
      <w:r w:rsidR="00603708">
        <w:rPr>
          <w:lang w:val="fr-FR"/>
        </w:rPr>
        <w:t>’</w:t>
      </w:r>
      <w:r w:rsidR="00375632">
        <w:rPr>
          <w:lang w:val="fr-FR"/>
        </w:rPr>
        <w:t>est-à-dire</w:t>
      </w:r>
      <w:r w:rsidRPr="004A51F8">
        <w:rPr>
          <w:lang w:val="fr-FR"/>
        </w:rPr>
        <w:t xml:space="preserve"> accomplir une t</w:t>
      </w:r>
      <w:r w:rsidR="009408AC">
        <w:rPr>
          <w:lang w:val="fr-FR"/>
        </w:rPr>
        <w:t>â</w:t>
      </w:r>
      <w:r w:rsidRPr="004A51F8">
        <w:rPr>
          <w:lang w:val="fr-FR"/>
        </w:rPr>
        <w:t xml:space="preserve">che qui </w:t>
      </w:r>
      <w:r w:rsidR="00375632">
        <w:rPr>
          <w:lang w:val="fr-FR"/>
        </w:rPr>
        <w:t>s</w:t>
      </w:r>
      <w:r w:rsidR="00603708">
        <w:rPr>
          <w:lang w:val="fr-FR"/>
        </w:rPr>
        <w:t>’</w:t>
      </w:r>
      <w:r w:rsidR="00375632">
        <w:rPr>
          <w:lang w:val="fr-FR"/>
        </w:rPr>
        <w:t>apparente</w:t>
      </w:r>
      <w:r w:rsidRPr="004A51F8">
        <w:rPr>
          <w:lang w:val="fr-FR"/>
        </w:rPr>
        <w:t>, selon la cour d</w:t>
      </w:r>
      <w:r w:rsidR="00603708">
        <w:rPr>
          <w:lang w:val="fr-FR"/>
        </w:rPr>
        <w:t>’</w:t>
      </w:r>
      <w:r w:rsidRPr="004A51F8">
        <w:rPr>
          <w:lang w:val="fr-FR"/>
        </w:rPr>
        <w:t xml:space="preserve">appel de Gênes, moins </w:t>
      </w:r>
      <w:r w:rsidR="00375632">
        <w:rPr>
          <w:lang w:val="fr-FR"/>
        </w:rPr>
        <w:t>à</w:t>
      </w:r>
      <w:r w:rsidR="009408AC">
        <w:rPr>
          <w:lang w:val="fr-FR"/>
        </w:rPr>
        <w:t xml:space="preserve"> </w:t>
      </w:r>
      <w:r w:rsidRPr="004A51F8">
        <w:rPr>
          <w:lang w:val="fr-FR"/>
        </w:rPr>
        <w:t xml:space="preserve">une obligation de moyens </w:t>
      </w:r>
      <w:r w:rsidR="00375632">
        <w:rPr>
          <w:lang w:val="fr-FR"/>
        </w:rPr>
        <w:t>qu</w:t>
      </w:r>
      <w:r w:rsidR="00603708">
        <w:rPr>
          <w:lang w:val="fr-FR"/>
        </w:rPr>
        <w:t>’</w:t>
      </w:r>
      <w:r w:rsidR="00375632">
        <w:rPr>
          <w:lang w:val="fr-FR"/>
        </w:rPr>
        <w:t>à</w:t>
      </w:r>
      <w:r w:rsidR="009408AC">
        <w:rPr>
          <w:lang w:val="fr-FR"/>
        </w:rPr>
        <w:t xml:space="preserve"> une obligation </w:t>
      </w:r>
      <w:r w:rsidRPr="004A51F8">
        <w:rPr>
          <w:lang w:val="fr-FR"/>
        </w:rPr>
        <w:t>de résultat (</w:t>
      </w:r>
      <w:r w:rsidR="005C1DE4" w:rsidRPr="00AC0DAF">
        <w:rPr>
          <w:lang w:val="fr-FR"/>
        </w:rPr>
        <w:t>paragraphes 29, 65 et 79</w:t>
      </w:r>
      <w:r w:rsidRPr="00AC0DAF">
        <w:rPr>
          <w:lang w:val="fr-FR"/>
        </w:rPr>
        <w:t xml:space="preserve"> ci-dessus</w:t>
      </w:r>
      <w:r w:rsidRPr="004A51F8">
        <w:rPr>
          <w:lang w:val="fr-FR"/>
        </w:rPr>
        <w:t xml:space="preserve">). </w:t>
      </w:r>
      <w:r>
        <w:rPr>
          <w:lang w:val="fr-FR"/>
        </w:rPr>
        <w:t>I</w:t>
      </w:r>
      <w:r w:rsidRPr="004A51F8">
        <w:rPr>
          <w:lang w:val="fr-FR"/>
        </w:rPr>
        <w:t>l ne ressort pas des décisions internes que des directives concernant l</w:t>
      </w:r>
      <w:r w:rsidR="00603708">
        <w:rPr>
          <w:lang w:val="fr-FR"/>
        </w:rPr>
        <w:t>’</w:t>
      </w:r>
      <w:r w:rsidRPr="004A51F8">
        <w:rPr>
          <w:lang w:val="fr-FR"/>
        </w:rPr>
        <w:t>utilisation de la force avaient été fournies</w:t>
      </w:r>
      <w:r>
        <w:rPr>
          <w:lang w:val="fr-FR"/>
        </w:rPr>
        <w:t xml:space="preserve"> aux agents</w:t>
      </w:r>
      <w:r w:rsidRPr="004A51F8">
        <w:rPr>
          <w:lang w:val="fr-FR"/>
        </w:rPr>
        <w:t xml:space="preserve"> (</w:t>
      </w:r>
      <w:r w:rsidR="005C1DE4" w:rsidRPr="00AC0DAF">
        <w:rPr>
          <w:lang w:val="fr-FR"/>
        </w:rPr>
        <w:t>paragraphes 65, 68 et 79</w:t>
      </w:r>
      <w:r w:rsidR="007966DC" w:rsidRPr="00AC0DAF">
        <w:rPr>
          <w:lang w:val="fr-FR"/>
        </w:rPr>
        <w:t xml:space="preserve"> ci-dessus</w:t>
      </w:r>
      <w:r w:rsidR="000234EA">
        <w:rPr>
          <w:lang w:val="fr-FR"/>
        </w:rPr>
        <w:t>)</w:t>
      </w:r>
      <w:r>
        <w:rPr>
          <w:lang w:val="fr-FR"/>
        </w:rPr>
        <w:t xml:space="preserve">. </w:t>
      </w:r>
      <w:r w:rsidR="00BD3E3E">
        <w:rPr>
          <w:rFonts w:cstheme="minorHAnsi"/>
          <w:lang w:val="fr-FR"/>
        </w:rPr>
        <w:t xml:space="preserve">La police a attaqué immédiatement </w:t>
      </w:r>
      <w:r w:rsidR="00B503F2" w:rsidRPr="000B1C19">
        <w:rPr>
          <w:lang w:val="fr-FR"/>
        </w:rPr>
        <w:t>de</w:t>
      </w:r>
      <w:r w:rsidR="0053752B">
        <w:rPr>
          <w:lang w:val="fr-FR"/>
        </w:rPr>
        <w:t>s</w:t>
      </w:r>
      <w:r w:rsidR="00B503F2" w:rsidRPr="000B1C19">
        <w:rPr>
          <w:lang w:val="fr-FR"/>
        </w:rPr>
        <w:t xml:space="preserve"> personnes </w:t>
      </w:r>
      <w:r w:rsidR="000234EA">
        <w:rPr>
          <w:lang w:val="fr-FR"/>
        </w:rPr>
        <w:t xml:space="preserve">clairement inoffensives </w:t>
      </w:r>
      <w:r w:rsidR="00B503F2" w:rsidRPr="000B1C19">
        <w:rPr>
          <w:lang w:val="fr-FR"/>
        </w:rPr>
        <w:t>à l</w:t>
      </w:r>
      <w:r w:rsidR="00603708">
        <w:rPr>
          <w:lang w:val="fr-FR"/>
        </w:rPr>
        <w:t>’</w:t>
      </w:r>
      <w:r w:rsidR="00B503F2" w:rsidRPr="000B1C19">
        <w:rPr>
          <w:lang w:val="fr-FR"/>
        </w:rPr>
        <w:t>extérieur de l</w:t>
      </w:r>
      <w:r w:rsidR="00603708">
        <w:rPr>
          <w:lang w:val="fr-FR"/>
        </w:rPr>
        <w:t>’</w:t>
      </w:r>
      <w:r w:rsidR="00B503F2" w:rsidRPr="000B1C19">
        <w:rPr>
          <w:lang w:val="fr-FR"/>
        </w:rPr>
        <w:t>école</w:t>
      </w:r>
      <w:r w:rsidR="007966DC">
        <w:rPr>
          <w:lang w:val="fr-FR"/>
        </w:rPr>
        <w:t xml:space="preserve"> (</w:t>
      </w:r>
      <w:r w:rsidR="007966DC" w:rsidRPr="00AC0DAF">
        <w:rPr>
          <w:lang w:val="fr-FR"/>
        </w:rPr>
        <w:t xml:space="preserve">paragraphes </w:t>
      </w:r>
      <w:r w:rsidR="005C1DE4" w:rsidRPr="00AC0DAF">
        <w:rPr>
          <w:lang w:val="fr-FR"/>
        </w:rPr>
        <w:t>31 et 66</w:t>
      </w:r>
      <w:r w:rsidR="007966DC" w:rsidRPr="00AC0DAF">
        <w:rPr>
          <w:lang w:val="fr-FR"/>
        </w:rPr>
        <w:t xml:space="preserve"> ci-dessus)</w:t>
      </w:r>
      <w:r w:rsidR="0053752B" w:rsidRPr="00C7391C">
        <w:rPr>
          <w:lang w:val="fr-FR"/>
        </w:rPr>
        <w:t>.</w:t>
      </w:r>
      <w:r w:rsidR="0053752B">
        <w:rPr>
          <w:lang w:val="fr-FR"/>
        </w:rPr>
        <w:t xml:space="preserve"> À aucun moment</w:t>
      </w:r>
      <w:r w:rsidR="00753659">
        <w:rPr>
          <w:lang w:val="fr-FR"/>
        </w:rPr>
        <w:t>,</w:t>
      </w:r>
      <w:r w:rsidR="0053752B">
        <w:rPr>
          <w:lang w:val="fr-FR"/>
        </w:rPr>
        <w:t xml:space="preserve"> elle </w:t>
      </w:r>
      <w:r w:rsidR="00BD3E3E">
        <w:rPr>
          <w:lang w:val="fr-FR"/>
        </w:rPr>
        <w:t>n</w:t>
      </w:r>
      <w:r w:rsidR="00603708">
        <w:rPr>
          <w:lang w:val="fr-FR"/>
        </w:rPr>
        <w:t>’</w:t>
      </w:r>
      <w:r w:rsidR="00BD3E3E">
        <w:rPr>
          <w:lang w:val="fr-FR"/>
        </w:rPr>
        <w:t>a essayé</w:t>
      </w:r>
      <w:r w:rsidR="00923A83">
        <w:rPr>
          <w:lang w:val="fr-FR"/>
        </w:rPr>
        <w:t xml:space="preserve"> de </w:t>
      </w:r>
      <w:r w:rsidR="0053752B">
        <w:rPr>
          <w:lang w:val="fr-FR"/>
        </w:rPr>
        <w:t>parlementer avec les personnes qui s</w:t>
      </w:r>
      <w:r w:rsidR="00603708">
        <w:rPr>
          <w:lang w:val="fr-FR"/>
        </w:rPr>
        <w:t>’</w:t>
      </w:r>
      <w:r w:rsidR="004A1A49">
        <w:rPr>
          <w:lang w:val="fr-FR"/>
        </w:rPr>
        <w:t xml:space="preserve">étaient </w:t>
      </w:r>
      <w:r w:rsidR="0053752B">
        <w:rPr>
          <w:lang w:val="fr-FR"/>
        </w:rPr>
        <w:t>abrit</w:t>
      </w:r>
      <w:r w:rsidR="004A1A49">
        <w:rPr>
          <w:lang w:val="fr-FR"/>
        </w:rPr>
        <w:t>ées</w:t>
      </w:r>
      <w:r w:rsidR="0053752B">
        <w:rPr>
          <w:lang w:val="fr-FR"/>
        </w:rPr>
        <w:t xml:space="preserve"> légitimement dans ce bâtiment n</w:t>
      </w:r>
      <w:r w:rsidR="00166D64">
        <w:rPr>
          <w:lang w:val="fr-FR"/>
        </w:rPr>
        <w:t>i de se faire ouvrir les</w:t>
      </w:r>
      <w:r w:rsidR="0053752B">
        <w:rPr>
          <w:lang w:val="fr-FR"/>
        </w:rPr>
        <w:t xml:space="preserve"> porte</w:t>
      </w:r>
      <w:r w:rsidR="00166D64">
        <w:rPr>
          <w:lang w:val="fr-FR"/>
        </w:rPr>
        <w:t>s</w:t>
      </w:r>
      <w:r w:rsidR="0053752B">
        <w:rPr>
          <w:lang w:val="fr-FR"/>
        </w:rPr>
        <w:t xml:space="preserve"> que ces personnes avaient légitimement fermé</w:t>
      </w:r>
      <w:r w:rsidR="004A1A49">
        <w:rPr>
          <w:lang w:val="fr-FR"/>
        </w:rPr>
        <w:t>es</w:t>
      </w:r>
      <w:r w:rsidR="0053752B">
        <w:rPr>
          <w:lang w:val="fr-FR"/>
        </w:rPr>
        <w:t>, préférant</w:t>
      </w:r>
      <w:r w:rsidR="004A1A49">
        <w:rPr>
          <w:lang w:val="fr-FR"/>
        </w:rPr>
        <w:t xml:space="preserve"> d</w:t>
      </w:r>
      <w:r w:rsidR="00603708">
        <w:rPr>
          <w:lang w:val="fr-FR"/>
        </w:rPr>
        <w:t>’</w:t>
      </w:r>
      <w:r w:rsidR="004A1A49">
        <w:rPr>
          <w:lang w:val="fr-FR"/>
        </w:rPr>
        <w:t>emblée</w:t>
      </w:r>
      <w:r w:rsidR="0053752B">
        <w:rPr>
          <w:lang w:val="fr-FR"/>
        </w:rPr>
        <w:t xml:space="preserve"> </w:t>
      </w:r>
      <w:r w:rsidR="00166D64">
        <w:rPr>
          <w:lang w:val="fr-FR"/>
        </w:rPr>
        <w:t xml:space="preserve">les </w:t>
      </w:r>
      <w:r w:rsidR="0053752B">
        <w:rPr>
          <w:lang w:val="fr-FR"/>
        </w:rPr>
        <w:t>enfoncer</w:t>
      </w:r>
      <w:r w:rsidR="00923A83">
        <w:rPr>
          <w:lang w:val="fr-FR"/>
        </w:rPr>
        <w:t xml:space="preserve"> </w:t>
      </w:r>
      <w:r w:rsidR="007966DC">
        <w:rPr>
          <w:lang w:val="fr-FR"/>
        </w:rPr>
        <w:t>(</w:t>
      </w:r>
      <w:r w:rsidR="00963DEB" w:rsidRPr="00AC0DAF">
        <w:rPr>
          <w:lang w:val="fr-FR"/>
        </w:rPr>
        <w:t>paragraphes 32 et 67</w:t>
      </w:r>
      <w:r w:rsidR="007966DC" w:rsidRPr="00AC0DAF">
        <w:rPr>
          <w:lang w:val="fr-FR"/>
        </w:rPr>
        <w:t xml:space="preserve"> ci-dessus</w:t>
      </w:r>
      <w:r w:rsidR="007966DC">
        <w:rPr>
          <w:lang w:val="fr-FR"/>
        </w:rPr>
        <w:t>)</w:t>
      </w:r>
      <w:r w:rsidR="0053752B">
        <w:rPr>
          <w:lang w:val="fr-FR"/>
        </w:rPr>
        <w:t>. E</w:t>
      </w:r>
      <w:r w:rsidR="003D1C66">
        <w:rPr>
          <w:lang w:val="fr-FR"/>
        </w:rPr>
        <w:t>nfin,</w:t>
      </w:r>
      <w:r w:rsidR="00923A83" w:rsidRPr="004A51F8">
        <w:rPr>
          <w:lang w:val="fr-FR"/>
        </w:rPr>
        <w:t xml:space="preserve"> </w:t>
      </w:r>
      <w:r w:rsidR="0053752B">
        <w:rPr>
          <w:lang w:val="fr-FR"/>
        </w:rPr>
        <w:t xml:space="preserve">elle a systématiquement passé à tabac </w:t>
      </w:r>
      <w:r w:rsidR="004A1A49">
        <w:rPr>
          <w:lang w:val="fr-FR"/>
        </w:rPr>
        <w:t>l</w:t>
      </w:r>
      <w:r w:rsidR="00603708">
        <w:rPr>
          <w:lang w:val="fr-FR"/>
        </w:rPr>
        <w:t>’</w:t>
      </w:r>
      <w:r w:rsidR="004A1A49">
        <w:rPr>
          <w:lang w:val="fr-FR"/>
        </w:rPr>
        <w:t>ensemble</w:t>
      </w:r>
      <w:r w:rsidR="0053752B">
        <w:rPr>
          <w:lang w:val="fr-FR"/>
        </w:rPr>
        <w:t xml:space="preserve"> des</w:t>
      </w:r>
      <w:r w:rsidR="00923A83">
        <w:rPr>
          <w:lang w:val="fr-FR"/>
        </w:rPr>
        <w:t xml:space="preserve"> occupants</w:t>
      </w:r>
      <w:r w:rsidR="0053752B">
        <w:rPr>
          <w:lang w:val="fr-FR"/>
        </w:rPr>
        <w:t xml:space="preserve"> </w:t>
      </w:r>
      <w:r w:rsidR="00963DEB">
        <w:rPr>
          <w:lang w:val="fr-FR"/>
        </w:rPr>
        <w:t>dans tous l</w:t>
      </w:r>
      <w:r w:rsidR="00C954FC">
        <w:rPr>
          <w:lang w:val="fr-FR"/>
        </w:rPr>
        <w:t>es locaux</w:t>
      </w:r>
      <w:r w:rsidR="00FC6E1D">
        <w:rPr>
          <w:lang w:val="fr-FR"/>
        </w:rPr>
        <w:t xml:space="preserve"> </w:t>
      </w:r>
      <w:r w:rsidR="00923A83">
        <w:rPr>
          <w:lang w:val="fr-FR"/>
        </w:rPr>
        <w:t>du</w:t>
      </w:r>
      <w:r w:rsidR="004A1A49">
        <w:rPr>
          <w:lang w:val="fr-FR"/>
        </w:rPr>
        <w:t xml:space="preserve"> </w:t>
      </w:r>
      <w:r w:rsidR="00923A83" w:rsidRPr="004A51F8">
        <w:rPr>
          <w:lang w:val="fr-FR"/>
        </w:rPr>
        <w:t>bâtiment</w:t>
      </w:r>
      <w:r w:rsidR="00923A83">
        <w:rPr>
          <w:lang w:val="fr-FR"/>
        </w:rPr>
        <w:t xml:space="preserve"> </w:t>
      </w:r>
      <w:r w:rsidR="00FC6E1D">
        <w:rPr>
          <w:lang w:val="fr-FR"/>
        </w:rPr>
        <w:t>(</w:t>
      </w:r>
      <w:r w:rsidR="00FC6E1D" w:rsidRPr="00AC0DAF">
        <w:rPr>
          <w:lang w:val="fr-FR"/>
        </w:rPr>
        <w:t>paragraphe</w:t>
      </w:r>
      <w:r w:rsidRPr="00AC0DAF">
        <w:rPr>
          <w:lang w:val="fr-FR"/>
        </w:rPr>
        <w:t>s</w:t>
      </w:r>
      <w:r w:rsidR="00FC6E1D" w:rsidRPr="00AC0DAF">
        <w:rPr>
          <w:lang w:val="fr-FR"/>
        </w:rPr>
        <w:t xml:space="preserve"> </w:t>
      </w:r>
      <w:r w:rsidR="00963DEB" w:rsidRPr="00AC0DAF">
        <w:rPr>
          <w:lang w:val="fr-FR"/>
        </w:rPr>
        <w:t>33</w:t>
      </w:r>
      <w:r w:rsidR="007966DC" w:rsidRPr="00AC0DAF">
        <w:rPr>
          <w:lang w:val="fr-FR"/>
        </w:rPr>
        <w:t xml:space="preserve"> et </w:t>
      </w:r>
      <w:r w:rsidR="00963DEB" w:rsidRPr="00AC0DAF">
        <w:rPr>
          <w:lang w:val="fr-FR"/>
        </w:rPr>
        <w:t>67</w:t>
      </w:r>
      <w:r w:rsidR="00B503F2" w:rsidRPr="00AC0DAF">
        <w:rPr>
          <w:lang w:val="fr-FR"/>
        </w:rPr>
        <w:t xml:space="preserve"> </w:t>
      </w:r>
      <w:r w:rsidR="0051303B" w:rsidRPr="00AC0DAF">
        <w:rPr>
          <w:lang w:val="fr-FR"/>
        </w:rPr>
        <w:t>ci-dessus</w:t>
      </w:r>
      <w:r w:rsidR="00B503F2" w:rsidRPr="00C7391C">
        <w:rPr>
          <w:lang w:val="fr-FR"/>
        </w:rPr>
        <w:t>)</w:t>
      </w:r>
      <w:r w:rsidR="000234EA" w:rsidRPr="00C7391C">
        <w:rPr>
          <w:lang w:val="fr-FR"/>
        </w:rPr>
        <w:t>.</w:t>
      </w:r>
    </w:p>
    <w:p w:rsidR="0032468C" w:rsidRDefault="004A1A49" w:rsidP="00D06F08">
      <w:pPr>
        <w:ind w:firstLine="284"/>
        <w:outlineLvl w:val="0"/>
        <w:rPr>
          <w:lang w:val="fr-FR"/>
        </w:rPr>
      </w:pPr>
      <w:r>
        <w:rPr>
          <w:lang w:val="fr-FR"/>
        </w:rPr>
        <w:t>Dès lors</w:t>
      </w:r>
      <w:r w:rsidR="00C954FC">
        <w:rPr>
          <w:lang w:val="fr-FR"/>
        </w:rPr>
        <w:t xml:space="preserve">, </w:t>
      </w:r>
      <w:r w:rsidR="000234EA">
        <w:rPr>
          <w:lang w:val="fr-FR"/>
        </w:rPr>
        <w:t>on ne saurait méconna</w:t>
      </w:r>
      <w:r>
        <w:rPr>
          <w:lang w:val="fr-FR"/>
        </w:rPr>
        <w:t>î</w:t>
      </w:r>
      <w:r w:rsidR="000234EA">
        <w:rPr>
          <w:lang w:val="fr-FR"/>
        </w:rPr>
        <w:t xml:space="preserve">tre </w:t>
      </w:r>
      <w:r w:rsidR="004271F3">
        <w:rPr>
          <w:lang w:val="fr-FR"/>
        </w:rPr>
        <w:t>le caractère intentionnel et prémédité des mauvais traitements dont</w:t>
      </w:r>
      <w:r>
        <w:rPr>
          <w:lang w:val="fr-FR"/>
        </w:rPr>
        <w:t xml:space="preserve"> le requérant</w:t>
      </w:r>
      <w:r w:rsidR="004271F3">
        <w:rPr>
          <w:lang w:val="fr-FR"/>
        </w:rPr>
        <w:t>, notamment, a été victime.</w:t>
      </w:r>
    </w:p>
    <w:p w:rsidR="0032468C" w:rsidRPr="00D839EB" w:rsidRDefault="006454A3" w:rsidP="00CC141A">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184</w:t>
      </w:r>
      <w:r>
        <w:rPr>
          <w:lang w:val="fr-FR"/>
        </w:rPr>
        <w:fldChar w:fldCharType="end"/>
      </w:r>
      <w:r>
        <w:rPr>
          <w:lang w:val="fr-FR"/>
        </w:rPr>
        <w:t>.  </w:t>
      </w:r>
      <w:r w:rsidR="00D43CDB">
        <w:rPr>
          <w:lang w:val="fr-FR"/>
        </w:rPr>
        <w:t>Pour apprécier le</w:t>
      </w:r>
      <w:r w:rsidR="00CC141A">
        <w:rPr>
          <w:lang w:val="fr-FR"/>
        </w:rPr>
        <w:t xml:space="preserve"> contexte dans lequel s</w:t>
      </w:r>
      <w:r w:rsidR="00603708">
        <w:rPr>
          <w:lang w:val="fr-FR"/>
        </w:rPr>
        <w:t>’</w:t>
      </w:r>
      <w:r w:rsidR="00CC141A">
        <w:rPr>
          <w:lang w:val="fr-FR"/>
        </w:rPr>
        <w:t>est produite l</w:t>
      </w:r>
      <w:r w:rsidR="00603708">
        <w:rPr>
          <w:lang w:val="fr-FR"/>
        </w:rPr>
        <w:t>’</w:t>
      </w:r>
      <w:r w:rsidR="00CC141A">
        <w:rPr>
          <w:lang w:val="fr-FR"/>
        </w:rPr>
        <w:t xml:space="preserve">agression du requérant et, </w:t>
      </w:r>
      <w:r w:rsidR="00166D64">
        <w:rPr>
          <w:lang w:val="fr-FR"/>
        </w:rPr>
        <w:t>notamment</w:t>
      </w:r>
      <w:r w:rsidR="00CC141A">
        <w:rPr>
          <w:lang w:val="fr-FR"/>
        </w:rPr>
        <w:t>, l</w:t>
      </w:r>
      <w:r w:rsidR="00603708">
        <w:rPr>
          <w:lang w:val="fr-FR"/>
        </w:rPr>
        <w:t>’</w:t>
      </w:r>
      <w:r w:rsidR="00CC141A">
        <w:rPr>
          <w:lang w:val="fr-FR"/>
        </w:rPr>
        <w:t>élément intentionnel,</w:t>
      </w:r>
      <w:r w:rsidR="00CC141A" w:rsidRPr="006454A3">
        <w:rPr>
          <w:lang w:val="fr-FR"/>
        </w:rPr>
        <w:t xml:space="preserve"> </w:t>
      </w:r>
      <w:r w:rsidR="00CC141A">
        <w:rPr>
          <w:lang w:val="fr-FR"/>
        </w:rPr>
        <w:t xml:space="preserve">la Cour </w:t>
      </w:r>
      <w:r w:rsidR="00CC141A" w:rsidRPr="00D839EB">
        <w:rPr>
          <w:lang w:val="fr-FR"/>
        </w:rPr>
        <w:t xml:space="preserve">ne peut </w:t>
      </w:r>
      <w:r w:rsidR="00D43CDB">
        <w:rPr>
          <w:lang w:val="fr-FR"/>
        </w:rPr>
        <w:t>pas non plus négliger</w:t>
      </w:r>
      <w:r w:rsidR="00CC141A" w:rsidRPr="00D839EB">
        <w:rPr>
          <w:lang w:val="fr-FR"/>
        </w:rPr>
        <w:t xml:space="preserve"> les tentatives de la police de cacher ces événements ou de les justifier sur </w:t>
      </w:r>
      <w:r w:rsidR="00D839EB" w:rsidRPr="00D839EB">
        <w:rPr>
          <w:lang w:val="fr-FR"/>
        </w:rPr>
        <w:t>le fondement</w:t>
      </w:r>
      <w:r w:rsidR="00CC141A" w:rsidRPr="00D839EB">
        <w:rPr>
          <w:lang w:val="fr-FR"/>
        </w:rPr>
        <w:t xml:space="preserve"> de </w:t>
      </w:r>
      <w:r w:rsidR="00D839EB" w:rsidRPr="00D839EB">
        <w:rPr>
          <w:lang w:val="fr-FR"/>
        </w:rPr>
        <w:t>circonstances fallacieuses</w:t>
      </w:r>
      <w:r w:rsidR="00CC141A" w:rsidRPr="00D839EB">
        <w:rPr>
          <w:lang w:val="fr-FR"/>
        </w:rPr>
        <w:t>.</w:t>
      </w:r>
    </w:p>
    <w:p w:rsidR="00CC141A" w:rsidRPr="004A51F8" w:rsidRDefault="00CC141A" w:rsidP="00CC141A">
      <w:pPr>
        <w:pStyle w:val="ECHRPara"/>
        <w:tabs>
          <w:tab w:val="num" w:pos="780"/>
        </w:tabs>
        <w:ind w:firstLine="360"/>
        <w:rPr>
          <w:lang w:val="fr-FR"/>
        </w:rPr>
      </w:pPr>
      <w:r w:rsidRPr="00D839EB">
        <w:rPr>
          <w:lang w:val="fr-FR"/>
        </w:rPr>
        <w:t>D</w:t>
      </w:r>
      <w:r w:rsidR="00603708">
        <w:rPr>
          <w:lang w:val="fr-FR"/>
        </w:rPr>
        <w:t>’</w:t>
      </w:r>
      <w:r w:rsidRPr="00D839EB">
        <w:rPr>
          <w:lang w:val="fr-FR"/>
        </w:rPr>
        <w:t xml:space="preserve">une part, </w:t>
      </w:r>
      <w:r w:rsidR="00551CD6">
        <w:rPr>
          <w:lang w:val="fr-FR"/>
        </w:rPr>
        <w:t>comme l</w:t>
      </w:r>
      <w:r w:rsidR="00603708">
        <w:rPr>
          <w:lang w:val="fr-FR"/>
        </w:rPr>
        <w:t>’</w:t>
      </w:r>
      <w:r w:rsidR="00551CD6">
        <w:rPr>
          <w:lang w:val="fr-FR"/>
        </w:rPr>
        <w:t>ont souligné la cour</w:t>
      </w:r>
      <w:r w:rsidRPr="00D839EB">
        <w:rPr>
          <w:lang w:val="fr-FR"/>
        </w:rPr>
        <w:t xml:space="preserve"> d</w:t>
      </w:r>
      <w:r w:rsidR="00603708">
        <w:rPr>
          <w:lang w:val="fr-FR"/>
        </w:rPr>
        <w:t>’</w:t>
      </w:r>
      <w:r w:rsidRPr="00D839EB">
        <w:rPr>
          <w:lang w:val="fr-FR"/>
        </w:rPr>
        <w:t>appel</w:t>
      </w:r>
      <w:r w:rsidR="00551CD6">
        <w:rPr>
          <w:lang w:val="fr-FR"/>
        </w:rPr>
        <w:t xml:space="preserve"> </w:t>
      </w:r>
      <w:r w:rsidR="00753659">
        <w:rPr>
          <w:lang w:val="fr-FR"/>
        </w:rPr>
        <w:t>et</w:t>
      </w:r>
      <w:r w:rsidR="00551CD6">
        <w:rPr>
          <w:lang w:val="fr-FR"/>
        </w:rPr>
        <w:t xml:space="preserve"> </w:t>
      </w:r>
      <w:r w:rsidRPr="00D839EB">
        <w:rPr>
          <w:lang w:val="fr-FR"/>
        </w:rPr>
        <w:t>la Cour de cassation, en</w:t>
      </w:r>
      <w:r w:rsidRPr="004A51F8">
        <w:rPr>
          <w:lang w:val="fr-FR"/>
        </w:rPr>
        <w:t xml:space="preserve"> </w:t>
      </w:r>
      <w:r w:rsidRPr="00297615">
        <w:rPr>
          <w:lang w:val="fr-FR"/>
        </w:rPr>
        <w:t>faisant irruption dans l</w:t>
      </w:r>
      <w:r w:rsidR="00603708">
        <w:rPr>
          <w:lang w:val="fr-FR"/>
        </w:rPr>
        <w:t>’</w:t>
      </w:r>
      <w:r w:rsidRPr="00297615">
        <w:rPr>
          <w:lang w:val="fr-FR"/>
        </w:rPr>
        <w:t>école Pascoli</w:t>
      </w:r>
      <w:r w:rsidR="0062046A" w:rsidRPr="00297615">
        <w:rPr>
          <w:lang w:val="fr-FR"/>
        </w:rPr>
        <w:t>,</w:t>
      </w:r>
      <w:r w:rsidRPr="00297615">
        <w:rPr>
          <w:lang w:val="fr-FR"/>
        </w:rPr>
        <w:t xml:space="preserve"> la police voulait effacer toute preuve</w:t>
      </w:r>
      <w:r w:rsidRPr="004A51F8">
        <w:rPr>
          <w:lang w:val="fr-FR"/>
        </w:rPr>
        <w:t xml:space="preserve"> filmée de l</w:t>
      </w:r>
      <w:r w:rsidR="00603708">
        <w:rPr>
          <w:lang w:val="fr-FR"/>
        </w:rPr>
        <w:t>’</w:t>
      </w:r>
      <w:r w:rsidRPr="004A51F8">
        <w:rPr>
          <w:lang w:val="fr-FR"/>
        </w:rPr>
        <w:t>irruption qui se déroul</w:t>
      </w:r>
      <w:r w:rsidR="00551CD6">
        <w:rPr>
          <w:lang w:val="fr-FR"/>
        </w:rPr>
        <w:t>ait</w:t>
      </w:r>
      <w:r w:rsidRPr="004A51F8">
        <w:rPr>
          <w:lang w:val="fr-FR"/>
        </w:rPr>
        <w:t xml:space="preserve"> dans l</w:t>
      </w:r>
      <w:r w:rsidR="00603708">
        <w:rPr>
          <w:lang w:val="fr-FR"/>
        </w:rPr>
        <w:t>’</w:t>
      </w:r>
      <w:r w:rsidRPr="004A51F8">
        <w:rPr>
          <w:lang w:val="fr-FR"/>
        </w:rPr>
        <w:t>école Diaz-Pertini (</w:t>
      </w:r>
      <w:r w:rsidR="00963DEB" w:rsidRPr="00AC0DAF">
        <w:rPr>
          <w:lang w:val="fr-FR"/>
        </w:rPr>
        <w:t>paragraphe 83-84</w:t>
      </w:r>
      <w:r w:rsidRPr="00AC0DAF">
        <w:rPr>
          <w:lang w:val="fr-FR"/>
        </w:rPr>
        <w:t xml:space="preserve"> ci-dessus</w:t>
      </w:r>
      <w:r w:rsidRPr="004A51F8">
        <w:rPr>
          <w:lang w:val="fr-FR"/>
        </w:rPr>
        <w:t xml:space="preserve">). </w:t>
      </w:r>
      <w:r w:rsidR="00C7391C">
        <w:rPr>
          <w:lang w:val="fr-FR"/>
        </w:rPr>
        <w:t>E</w:t>
      </w:r>
      <w:r w:rsidRPr="004A51F8">
        <w:rPr>
          <w:lang w:val="fr-FR"/>
        </w:rPr>
        <w:t xml:space="preserve">n outre, </w:t>
      </w:r>
      <w:r w:rsidR="00C7391C">
        <w:rPr>
          <w:lang w:val="fr-FR"/>
        </w:rPr>
        <w:t xml:space="preserve">il y a lieu </w:t>
      </w:r>
      <w:r>
        <w:rPr>
          <w:lang w:val="fr-FR"/>
        </w:rPr>
        <w:t xml:space="preserve">de rappeler </w:t>
      </w:r>
      <w:r w:rsidRPr="004A51F8">
        <w:rPr>
          <w:lang w:val="fr-FR"/>
        </w:rPr>
        <w:t xml:space="preserve">les déclarations </w:t>
      </w:r>
      <w:r w:rsidR="00753659">
        <w:rPr>
          <w:lang w:val="fr-FR"/>
        </w:rPr>
        <w:t>du</w:t>
      </w:r>
      <w:r w:rsidRPr="004A51F8">
        <w:rPr>
          <w:lang w:val="fr-FR"/>
        </w:rPr>
        <w:t xml:space="preserve"> chef de l</w:t>
      </w:r>
      <w:r w:rsidR="00603708">
        <w:rPr>
          <w:lang w:val="fr-FR"/>
        </w:rPr>
        <w:t>’</w:t>
      </w:r>
      <w:r w:rsidRPr="004A51F8">
        <w:rPr>
          <w:lang w:val="fr-FR"/>
        </w:rPr>
        <w:t>unité de presse de la police</w:t>
      </w:r>
      <w:r w:rsidR="00551CD6">
        <w:rPr>
          <w:lang w:val="fr-FR"/>
        </w:rPr>
        <w:t xml:space="preserve"> </w:t>
      </w:r>
      <w:r w:rsidR="00551CD6" w:rsidRPr="004A51F8">
        <w:rPr>
          <w:lang w:val="fr-FR"/>
        </w:rPr>
        <w:t>dans la nuit du 21 au 22 juillet</w:t>
      </w:r>
      <w:r w:rsidRPr="004A51F8">
        <w:rPr>
          <w:lang w:val="fr-FR"/>
        </w:rPr>
        <w:t xml:space="preserve">, </w:t>
      </w:r>
      <w:r w:rsidR="000066BB">
        <w:rPr>
          <w:lang w:val="fr-FR"/>
        </w:rPr>
        <w:t>selon</w:t>
      </w:r>
      <w:r w:rsidR="000066BB" w:rsidRPr="004A51F8">
        <w:rPr>
          <w:lang w:val="fr-FR"/>
        </w:rPr>
        <w:t xml:space="preserve"> </w:t>
      </w:r>
      <w:r w:rsidRPr="004A51F8">
        <w:rPr>
          <w:lang w:val="fr-FR"/>
        </w:rPr>
        <w:t>lesquelles les nombreuses taches de sang, au sol</w:t>
      </w:r>
      <w:r w:rsidR="00362D1D">
        <w:rPr>
          <w:lang w:val="fr-FR"/>
        </w:rPr>
        <w:t>,</w:t>
      </w:r>
      <w:r w:rsidRPr="004A51F8">
        <w:rPr>
          <w:lang w:val="fr-FR"/>
        </w:rPr>
        <w:t xml:space="preserve"> sur les murs et </w:t>
      </w:r>
      <w:r w:rsidR="00362D1D">
        <w:rPr>
          <w:lang w:val="fr-FR"/>
        </w:rPr>
        <w:t xml:space="preserve">sur </w:t>
      </w:r>
      <w:r w:rsidRPr="004A51F8">
        <w:rPr>
          <w:lang w:val="fr-FR"/>
        </w:rPr>
        <w:t>les radiateurs du bâtiment, s</w:t>
      </w:r>
      <w:r w:rsidR="00603708">
        <w:rPr>
          <w:lang w:val="fr-FR"/>
        </w:rPr>
        <w:t>’</w:t>
      </w:r>
      <w:r w:rsidRPr="004A51F8">
        <w:rPr>
          <w:lang w:val="fr-FR"/>
        </w:rPr>
        <w:t>expliquaient par les blessures que la plupart des occupants se seraient fait</w:t>
      </w:r>
      <w:r w:rsidR="00D774FF">
        <w:rPr>
          <w:lang w:val="fr-FR"/>
        </w:rPr>
        <w:t>es</w:t>
      </w:r>
      <w:r w:rsidRPr="004A51F8">
        <w:rPr>
          <w:lang w:val="fr-FR"/>
        </w:rPr>
        <w:t xml:space="preserve"> au cours des accrochages de la journée</w:t>
      </w:r>
      <w:r w:rsidR="00D774FF">
        <w:rPr>
          <w:lang w:val="fr-FR"/>
        </w:rPr>
        <w:t xml:space="preserve"> </w:t>
      </w:r>
      <w:r w:rsidRPr="004A51F8">
        <w:rPr>
          <w:lang w:val="fr-FR"/>
        </w:rPr>
        <w:t>(</w:t>
      </w:r>
      <w:r w:rsidR="00963DEB" w:rsidRPr="00AC0DAF">
        <w:rPr>
          <w:lang w:val="fr-FR"/>
        </w:rPr>
        <w:t>paragraphe 41</w:t>
      </w:r>
      <w:r w:rsidRPr="00AC0DAF">
        <w:rPr>
          <w:lang w:val="fr-FR"/>
        </w:rPr>
        <w:t xml:space="preserve"> ci</w:t>
      </w:r>
      <w:r w:rsidR="00963DEB" w:rsidRPr="00AC0DAF">
        <w:rPr>
          <w:lang w:val="fr-FR"/>
        </w:rPr>
        <w:t xml:space="preserve">-dessus, </w:t>
      </w:r>
      <w:r w:rsidR="00D774FF">
        <w:rPr>
          <w:lang w:val="fr-FR"/>
        </w:rPr>
        <w:t>et</w:t>
      </w:r>
      <w:r w:rsidR="00963DEB" w:rsidRPr="00AC0DAF">
        <w:rPr>
          <w:lang w:val="fr-FR"/>
        </w:rPr>
        <w:t xml:space="preserve"> paragraphe 67</w:t>
      </w:r>
      <w:r w:rsidRPr="00AC0DAF">
        <w:rPr>
          <w:lang w:val="fr-FR"/>
        </w:rPr>
        <w:t xml:space="preserve"> ci-dessus pour </w:t>
      </w:r>
      <w:r w:rsidR="000066BB">
        <w:rPr>
          <w:lang w:val="fr-FR"/>
        </w:rPr>
        <w:t>l</w:t>
      </w:r>
      <w:r w:rsidR="00603708">
        <w:rPr>
          <w:lang w:val="fr-FR"/>
        </w:rPr>
        <w:t>’</w:t>
      </w:r>
      <w:r w:rsidR="000066BB">
        <w:rPr>
          <w:lang w:val="fr-FR"/>
        </w:rPr>
        <w:t>appréciation de la cour</w:t>
      </w:r>
      <w:r w:rsidRPr="00AC0DAF">
        <w:rPr>
          <w:lang w:val="fr-FR"/>
        </w:rPr>
        <w:t xml:space="preserve"> d</w:t>
      </w:r>
      <w:r w:rsidR="00603708">
        <w:rPr>
          <w:lang w:val="fr-FR"/>
        </w:rPr>
        <w:t>’</w:t>
      </w:r>
      <w:r w:rsidRPr="00AC0DAF">
        <w:rPr>
          <w:lang w:val="fr-FR"/>
        </w:rPr>
        <w:t>appel à ce propos</w:t>
      </w:r>
      <w:r w:rsidRPr="004A51F8">
        <w:rPr>
          <w:lang w:val="fr-FR"/>
        </w:rPr>
        <w:t>).</w:t>
      </w:r>
    </w:p>
    <w:p w:rsidR="00CC141A" w:rsidRDefault="00CC141A" w:rsidP="00CC141A">
      <w:pPr>
        <w:ind w:firstLine="284"/>
        <w:outlineLvl w:val="0"/>
        <w:rPr>
          <w:lang w:val="fr-FR"/>
        </w:rPr>
      </w:pPr>
      <w:r w:rsidRPr="004A51F8">
        <w:rPr>
          <w:lang w:val="fr-FR"/>
        </w:rPr>
        <w:t>D</w:t>
      </w:r>
      <w:r w:rsidR="00603708">
        <w:rPr>
          <w:lang w:val="fr-FR"/>
        </w:rPr>
        <w:t>’</w:t>
      </w:r>
      <w:r w:rsidRPr="004A51F8">
        <w:rPr>
          <w:lang w:val="fr-FR"/>
        </w:rPr>
        <w:t>autre part, l</w:t>
      </w:r>
      <w:r w:rsidR="00603708">
        <w:rPr>
          <w:lang w:val="fr-FR"/>
        </w:rPr>
        <w:t>’</w:t>
      </w:r>
      <w:r w:rsidRPr="004A51F8">
        <w:rPr>
          <w:lang w:val="fr-FR"/>
        </w:rPr>
        <w:t>arrêt d</w:t>
      </w:r>
      <w:r w:rsidR="00603708">
        <w:rPr>
          <w:lang w:val="fr-FR"/>
        </w:rPr>
        <w:t>’</w:t>
      </w:r>
      <w:r w:rsidRPr="004A51F8">
        <w:rPr>
          <w:lang w:val="fr-FR"/>
        </w:rPr>
        <w:t xml:space="preserve">appel </w:t>
      </w:r>
      <w:r w:rsidR="00362D1D">
        <w:rPr>
          <w:lang w:val="fr-FR"/>
        </w:rPr>
        <w:t>indique</w:t>
      </w:r>
      <w:r w:rsidRPr="004A51F8">
        <w:rPr>
          <w:lang w:val="fr-FR"/>
        </w:rPr>
        <w:t xml:space="preserve"> que la résistance des </w:t>
      </w:r>
      <w:r w:rsidRPr="00D774FF">
        <w:rPr>
          <w:lang w:val="fr-FR"/>
        </w:rPr>
        <w:t>occupants, l</w:t>
      </w:r>
      <w:r w:rsidR="00603708">
        <w:rPr>
          <w:lang w:val="fr-FR"/>
        </w:rPr>
        <w:t>’</w:t>
      </w:r>
      <w:r w:rsidRPr="00D774FF">
        <w:rPr>
          <w:lang w:val="fr-FR"/>
        </w:rPr>
        <w:t xml:space="preserve">agression </w:t>
      </w:r>
      <w:r w:rsidR="00D774FF" w:rsidRPr="00D774FF">
        <w:rPr>
          <w:lang w:val="fr-FR"/>
        </w:rPr>
        <w:t>au</w:t>
      </w:r>
      <w:r w:rsidRPr="00D774FF">
        <w:rPr>
          <w:lang w:val="fr-FR"/>
        </w:rPr>
        <w:t xml:space="preserve"> couteau subie par un agent et la découverte dans l</w:t>
      </w:r>
      <w:r w:rsidR="00603708">
        <w:rPr>
          <w:lang w:val="fr-FR"/>
        </w:rPr>
        <w:t>’</w:t>
      </w:r>
      <w:r w:rsidRPr="00D774FF">
        <w:rPr>
          <w:lang w:val="fr-FR"/>
        </w:rPr>
        <w:t>école Diaz-Pertini de deux cocktails Molotov étaient autant de mensonges, constituti</w:t>
      </w:r>
      <w:r w:rsidR="00D774FF" w:rsidRPr="000B5793">
        <w:rPr>
          <w:lang w:val="fr-FR"/>
        </w:rPr>
        <w:t>f</w:t>
      </w:r>
      <w:r w:rsidRPr="00D774FF">
        <w:rPr>
          <w:lang w:val="fr-FR"/>
        </w:rPr>
        <w:t xml:space="preserve">s des délits de calomnie et faux, qui visaient à justifier, </w:t>
      </w:r>
      <w:r w:rsidRPr="00D774FF">
        <w:rPr>
          <w:i/>
          <w:lang w:val="fr-FR"/>
        </w:rPr>
        <w:t>a posteriori</w:t>
      </w:r>
      <w:r w:rsidRPr="00D774FF">
        <w:rPr>
          <w:lang w:val="fr-FR"/>
        </w:rPr>
        <w:t>, l</w:t>
      </w:r>
      <w:r w:rsidR="00603708">
        <w:rPr>
          <w:lang w:val="fr-FR"/>
        </w:rPr>
        <w:t>’</w:t>
      </w:r>
      <w:r w:rsidRPr="00D774FF">
        <w:rPr>
          <w:lang w:val="fr-FR"/>
        </w:rPr>
        <w:t>irruption et les violences commises (</w:t>
      </w:r>
      <w:r w:rsidR="00963DEB" w:rsidRPr="00D774FF">
        <w:rPr>
          <w:lang w:val="fr-FR"/>
        </w:rPr>
        <w:t xml:space="preserve">paragraphes </w:t>
      </w:r>
      <w:r w:rsidR="008F1FEB" w:rsidRPr="00D774FF">
        <w:rPr>
          <w:lang w:val="fr-FR"/>
        </w:rPr>
        <w:t>70</w:t>
      </w:r>
      <w:r w:rsidR="00C7391C" w:rsidRPr="00D774FF">
        <w:rPr>
          <w:lang w:val="fr-FR"/>
        </w:rPr>
        <w:t>-</w:t>
      </w:r>
      <w:r w:rsidR="00963DEB" w:rsidRPr="00D774FF">
        <w:rPr>
          <w:lang w:val="fr-FR"/>
        </w:rPr>
        <w:t>73</w:t>
      </w:r>
      <w:r w:rsidRPr="00D774FF">
        <w:rPr>
          <w:lang w:val="fr-FR"/>
        </w:rPr>
        <w:t xml:space="preserve"> ci-</w:t>
      </w:r>
      <w:r w:rsidRPr="00AC0DAF">
        <w:rPr>
          <w:lang w:val="fr-FR"/>
        </w:rPr>
        <w:t>dessus</w:t>
      </w:r>
      <w:r w:rsidRPr="004A51F8">
        <w:rPr>
          <w:lang w:val="fr-FR"/>
        </w:rPr>
        <w:t>). Il</w:t>
      </w:r>
      <w:r w:rsidR="002E5171">
        <w:rPr>
          <w:lang w:val="fr-FR"/>
        </w:rPr>
        <w:t> </w:t>
      </w:r>
      <w:r w:rsidRPr="004A51F8">
        <w:rPr>
          <w:lang w:val="fr-FR"/>
        </w:rPr>
        <w:t>s</w:t>
      </w:r>
      <w:r w:rsidR="00603708">
        <w:rPr>
          <w:lang w:val="fr-FR"/>
        </w:rPr>
        <w:t>’</w:t>
      </w:r>
      <w:r w:rsidRPr="004A51F8">
        <w:rPr>
          <w:lang w:val="fr-FR"/>
        </w:rPr>
        <w:t>agi</w:t>
      </w:r>
      <w:r w:rsidR="00C7391C">
        <w:rPr>
          <w:lang w:val="fr-FR"/>
        </w:rPr>
        <w:t>ssai</w:t>
      </w:r>
      <w:r w:rsidRPr="004A51F8">
        <w:rPr>
          <w:lang w:val="fr-FR"/>
        </w:rPr>
        <w:t>t, selon la Cour de cassation, d</w:t>
      </w:r>
      <w:r w:rsidR="00603708">
        <w:rPr>
          <w:lang w:val="fr-FR"/>
        </w:rPr>
        <w:t>’</w:t>
      </w:r>
      <w:r w:rsidRPr="004A51F8">
        <w:rPr>
          <w:lang w:val="fr-FR"/>
        </w:rPr>
        <w:t>une « opération scélérate de mystification » (</w:t>
      </w:r>
      <w:r w:rsidR="008F1FEB" w:rsidRPr="00AC0DAF">
        <w:rPr>
          <w:lang w:val="fr-FR"/>
        </w:rPr>
        <w:t>paragraphe 80</w:t>
      </w:r>
      <w:r w:rsidRPr="00AC0DAF">
        <w:rPr>
          <w:lang w:val="fr-FR"/>
        </w:rPr>
        <w:t xml:space="preserve"> ci-dessus</w:t>
      </w:r>
      <w:r w:rsidRPr="004A51F8">
        <w:rPr>
          <w:lang w:val="fr-FR"/>
        </w:rPr>
        <w:t>)</w:t>
      </w:r>
      <w:r w:rsidR="00BD3995">
        <w:rPr>
          <w:lang w:val="fr-FR"/>
        </w:rPr>
        <w:t>.</w:t>
      </w:r>
    </w:p>
    <w:p w:rsidR="00BC5B46" w:rsidRDefault="00CC141A" w:rsidP="00BC5B46">
      <w:pPr>
        <w:ind w:firstLine="284"/>
        <w:outlineLvl w:val="0"/>
        <w:rPr>
          <w:rStyle w:val="sb8d990e2"/>
          <w:lang w:val="fr-FR"/>
        </w:rPr>
      </w:pPr>
      <w:r w:rsidRPr="007768B7">
        <w:rPr>
          <w:lang w:val="fr-FR"/>
        </w:rPr>
        <w:fldChar w:fldCharType="begin"/>
      </w:r>
      <w:r w:rsidRPr="0064289D">
        <w:rPr>
          <w:lang w:val="fr-FR"/>
        </w:rPr>
        <w:instrText xml:space="preserve"> SEQ level0 \*arabic </w:instrText>
      </w:r>
      <w:r w:rsidRPr="007768B7">
        <w:rPr>
          <w:lang w:val="fr-FR"/>
        </w:rPr>
        <w:fldChar w:fldCharType="separate"/>
      </w:r>
      <w:r w:rsidR="00B378F9">
        <w:rPr>
          <w:noProof/>
          <w:lang w:val="fr-FR"/>
        </w:rPr>
        <w:t>185</w:t>
      </w:r>
      <w:r w:rsidRPr="007768B7">
        <w:rPr>
          <w:lang w:val="fr-FR"/>
        </w:rPr>
        <w:fldChar w:fldCharType="end"/>
      </w:r>
      <w:r w:rsidRPr="0064289D">
        <w:rPr>
          <w:lang w:val="fr-FR"/>
        </w:rPr>
        <w:t>.  </w:t>
      </w:r>
      <w:r w:rsidR="00BC5B46" w:rsidRPr="0064289D">
        <w:rPr>
          <w:lang w:val="fr-FR"/>
        </w:rPr>
        <w:t xml:space="preserve">Dans ces conditions, la Cour ne </w:t>
      </w:r>
      <w:r w:rsidR="00812D7F" w:rsidRPr="0064289D">
        <w:rPr>
          <w:lang w:val="fr-FR"/>
        </w:rPr>
        <w:t>peut</w:t>
      </w:r>
      <w:r w:rsidR="00BC5B46" w:rsidRPr="0064289D">
        <w:rPr>
          <w:lang w:val="fr-FR"/>
        </w:rPr>
        <w:t xml:space="preserve"> souscrire à la thèse</w:t>
      </w:r>
      <w:r w:rsidR="00BC5B46">
        <w:rPr>
          <w:lang w:val="fr-FR"/>
        </w:rPr>
        <w:t xml:space="preserve"> implicitement avancée par le Gouvernement, à savoir que la gravité des mauvais traitements perpétrés lors de </w:t>
      </w:r>
      <w:r w:rsidR="00824605">
        <w:rPr>
          <w:lang w:val="fr-FR"/>
        </w:rPr>
        <w:t>l</w:t>
      </w:r>
      <w:r w:rsidR="00603708">
        <w:rPr>
          <w:lang w:val="fr-FR"/>
        </w:rPr>
        <w:t>’</w:t>
      </w:r>
      <w:r w:rsidR="00824605">
        <w:rPr>
          <w:lang w:val="fr-FR"/>
        </w:rPr>
        <w:t>irruption</w:t>
      </w:r>
      <w:r w:rsidR="00BC5B46">
        <w:rPr>
          <w:lang w:val="fr-FR"/>
        </w:rPr>
        <w:t xml:space="preserve"> </w:t>
      </w:r>
      <w:r w:rsidR="008A4082">
        <w:rPr>
          <w:lang w:val="fr-FR"/>
        </w:rPr>
        <w:t xml:space="preserve">de la police dans </w:t>
      </w:r>
      <w:r w:rsidR="00BC5B46">
        <w:rPr>
          <w:lang w:val="fr-FR"/>
        </w:rPr>
        <w:t>l</w:t>
      </w:r>
      <w:r w:rsidR="00603708">
        <w:rPr>
          <w:lang w:val="fr-FR"/>
        </w:rPr>
        <w:t>’</w:t>
      </w:r>
      <w:r w:rsidR="00BC5B46">
        <w:rPr>
          <w:lang w:val="fr-FR"/>
        </w:rPr>
        <w:t>école Diaz-Pertini devrait être</w:t>
      </w:r>
      <w:r w:rsidR="00827FA8">
        <w:rPr>
          <w:lang w:val="fr-FR"/>
        </w:rPr>
        <w:t xml:space="preserve"> relativisée eu égard au</w:t>
      </w:r>
      <w:r w:rsidR="00BC5B46">
        <w:rPr>
          <w:lang w:val="fr-FR"/>
        </w:rPr>
        <w:t xml:space="preserve"> contexte très tendu découlant des </w:t>
      </w:r>
      <w:r w:rsidR="00BC5B46" w:rsidRPr="00730D47">
        <w:rPr>
          <w:lang w:val="fr-FR"/>
        </w:rPr>
        <w:t xml:space="preserve">nombreux </w:t>
      </w:r>
      <w:r w:rsidR="00BC5B46">
        <w:rPr>
          <w:lang w:val="fr-FR"/>
        </w:rPr>
        <w:t>accrochages s</w:t>
      </w:r>
      <w:r w:rsidR="00603708">
        <w:rPr>
          <w:lang w:val="fr-FR"/>
        </w:rPr>
        <w:t>’</w:t>
      </w:r>
      <w:r w:rsidR="00BC5B46">
        <w:rPr>
          <w:lang w:val="fr-FR"/>
        </w:rPr>
        <w:t>étant produits pendant les manifestations et des exigences tout à fait particulières de protection de l</w:t>
      </w:r>
      <w:r w:rsidR="00603708">
        <w:rPr>
          <w:lang w:val="fr-FR"/>
        </w:rPr>
        <w:t>’</w:t>
      </w:r>
      <w:r w:rsidR="00BC5B46">
        <w:rPr>
          <w:lang w:val="fr-FR"/>
        </w:rPr>
        <w:t>ordre public.</w:t>
      </w:r>
    </w:p>
    <w:p w:rsidR="009313E0" w:rsidRDefault="00CC141A" w:rsidP="00BC5B46">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186</w:t>
      </w:r>
      <w:r>
        <w:rPr>
          <w:lang w:val="fr-FR"/>
        </w:rPr>
        <w:fldChar w:fldCharType="end"/>
      </w:r>
      <w:r>
        <w:rPr>
          <w:lang w:val="fr-FR"/>
        </w:rPr>
        <w:t>.  </w:t>
      </w:r>
      <w:r w:rsidR="00BC5B46" w:rsidRPr="003D1C66">
        <w:rPr>
          <w:lang w:val="fr-FR"/>
        </w:rPr>
        <w:t xml:space="preserve">Certes, </w:t>
      </w:r>
      <w:r w:rsidR="00403706">
        <w:rPr>
          <w:lang w:val="fr-FR"/>
        </w:rPr>
        <w:t>lorsqu</w:t>
      </w:r>
      <w:r w:rsidR="00603708">
        <w:rPr>
          <w:lang w:val="fr-FR"/>
        </w:rPr>
        <w:t>’</w:t>
      </w:r>
      <w:r w:rsidR="00403706">
        <w:rPr>
          <w:lang w:val="fr-FR"/>
        </w:rPr>
        <w:t xml:space="preserve">elle se prononce sur </w:t>
      </w:r>
      <w:r w:rsidR="00403706" w:rsidRPr="004A51F8">
        <w:rPr>
          <w:lang w:val="fr-FR"/>
        </w:rPr>
        <w:t xml:space="preserve">les </w:t>
      </w:r>
      <w:r w:rsidR="00403706">
        <w:rPr>
          <w:lang w:val="fr-FR"/>
        </w:rPr>
        <w:t>mauvais traitements</w:t>
      </w:r>
      <w:r w:rsidR="00403706" w:rsidRPr="004A51F8">
        <w:rPr>
          <w:lang w:val="fr-FR"/>
        </w:rPr>
        <w:t xml:space="preserve"> commis par des agents de police </w:t>
      </w:r>
      <w:r w:rsidR="00403706">
        <w:rPr>
          <w:lang w:val="fr-FR"/>
        </w:rPr>
        <w:t>s</w:t>
      </w:r>
      <w:r w:rsidR="00603708">
        <w:rPr>
          <w:lang w:val="fr-FR"/>
        </w:rPr>
        <w:t>’</w:t>
      </w:r>
      <w:r w:rsidR="00403706">
        <w:rPr>
          <w:lang w:val="fr-FR"/>
        </w:rPr>
        <w:t xml:space="preserve">acquittant </w:t>
      </w:r>
      <w:r w:rsidR="00403706" w:rsidRPr="004A51F8">
        <w:rPr>
          <w:lang w:val="fr-FR"/>
        </w:rPr>
        <w:t>de certaines t</w:t>
      </w:r>
      <w:r w:rsidR="00403706">
        <w:rPr>
          <w:lang w:val="fr-FR"/>
        </w:rPr>
        <w:t>â</w:t>
      </w:r>
      <w:r w:rsidR="00403706" w:rsidRPr="004A51F8">
        <w:rPr>
          <w:lang w:val="fr-FR"/>
        </w:rPr>
        <w:t xml:space="preserve">ches objectivement difficiles et qui </w:t>
      </w:r>
      <w:r w:rsidR="00403706">
        <w:rPr>
          <w:lang w:val="fr-FR"/>
        </w:rPr>
        <w:t>présente</w:t>
      </w:r>
      <w:r w:rsidR="00403706" w:rsidRPr="004A51F8">
        <w:rPr>
          <w:lang w:val="fr-FR"/>
        </w:rPr>
        <w:t>nt des risques pour la sécurité des agents</w:t>
      </w:r>
      <w:r w:rsidR="00403706">
        <w:rPr>
          <w:lang w:val="fr-FR"/>
        </w:rPr>
        <w:t xml:space="preserve"> eux-</w:t>
      </w:r>
      <w:r w:rsidR="00403706" w:rsidRPr="004A51F8">
        <w:rPr>
          <w:lang w:val="fr-FR"/>
        </w:rPr>
        <w:t>mêmes</w:t>
      </w:r>
      <w:r w:rsidR="00403706">
        <w:rPr>
          <w:lang w:val="fr-FR"/>
        </w:rPr>
        <w:t xml:space="preserve"> ou pour celle d</w:t>
      </w:r>
      <w:r w:rsidR="00603708">
        <w:rPr>
          <w:lang w:val="fr-FR"/>
        </w:rPr>
        <w:t>’</w:t>
      </w:r>
      <w:r w:rsidR="00403706">
        <w:rPr>
          <w:lang w:val="fr-FR"/>
        </w:rPr>
        <w:t>autrui,</w:t>
      </w:r>
      <w:r w:rsidR="00403706" w:rsidRPr="004A51F8">
        <w:rPr>
          <w:lang w:val="fr-FR"/>
        </w:rPr>
        <w:t xml:space="preserve"> </w:t>
      </w:r>
      <w:r w:rsidR="00BC5B46">
        <w:rPr>
          <w:lang w:val="fr-FR"/>
        </w:rPr>
        <w:t xml:space="preserve">la </w:t>
      </w:r>
      <w:r w:rsidR="00403706">
        <w:rPr>
          <w:lang w:val="fr-FR"/>
        </w:rPr>
        <w:t>Cour tient compte du</w:t>
      </w:r>
      <w:r w:rsidR="00BC5B46">
        <w:rPr>
          <w:lang w:val="fr-FR"/>
        </w:rPr>
        <w:t xml:space="preserve"> </w:t>
      </w:r>
      <w:r w:rsidR="00BC5B46" w:rsidRPr="004A51F8">
        <w:rPr>
          <w:lang w:val="fr-FR"/>
        </w:rPr>
        <w:t xml:space="preserve">contexte tendu et </w:t>
      </w:r>
      <w:r w:rsidR="00403706">
        <w:rPr>
          <w:lang w:val="fr-FR"/>
        </w:rPr>
        <w:t>de</w:t>
      </w:r>
      <w:r w:rsidR="00BC5B46" w:rsidRPr="004A51F8">
        <w:rPr>
          <w:lang w:val="fr-FR"/>
        </w:rPr>
        <w:t xml:space="preserve"> la forte tension émotionnelle</w:t>
      </w:r>
      <w:r w:rsidR="00BC5B46">
        <w:rPr>
          <w:lang w:val="fr-FR"/>
        </w:rPr>
        <w:t xml:space="preserve"> </w:t>
      </w:r>
      <w:r w:rsidR="00BC5B46" w:rsidRPr="004A51F8">
        <w:rPr>
          <w:lang w:val="fr-FR"/>
        </w:rPr>
        <w:t>(</w:t>
      </w:r>
      <w:r w:rsidR="00BC5B46" w:rsidRPr="00AC0DAF">
        <w:rPr>
          <w:lang w:val="fr-FR"/>
        </w:rPr>
        <w:t xml:space="preserve">voir, par exemple, </w:t>
      </w:r>
      <w:r w:rsidR="00403706">
        <w:rPr>
          <w:lang w:val="fr-FR"/>
        </w:rPr>
        <w:t xml:space="preserve">respectivement, </w:t>
      </w:r>
      <w:r w:rsidR="00BC5B46" w:rsidRPr="00AC0DAF">
        <w:rPr>
          <w:i/>
          <w:lang w:val="fr-FR"/>
        </w:rPr>
        <w:t>Egmez</w:t>
      </w:r>
      <w:r w:rsidR="00BC5B46" w:rsidRPr="00AC0DAF">
        <w:rPr>
          <w:lang w:val="fr-FR"/>
        </w:rPr>
        <w:t>, précité, §§ 11-13 et 78</w:t>
      </w:r>
      <w:r w:rsidR="00BC5B46">
        <w:rPr>
          <w:lang w:val="fr-FR"/>
        </w:rPr>
        <w:t> : arrestation en flagrant délit d</w:t>
      </w:r>
      <w:r w:rsidR="00603708">
        <w:rPr>
          <w:lang w:val="fr-FR"/>
        </w:rPr>
        <w:t>’</w:t>
      </w:r>
      <w:r w:rsidR="00BC5B46">
        <w:rPr>
          <w:lang w:val="fr-FR"/>
        </w:rPr>
        <w:t xml:space="preserve">un trafiquant de drogue, qui avait opposé </w:t>
      </w:r>
      <w:r w:rsidR="00824605">
        <w:rPr>
          <w:lang w:val="fr-FR"/>
        </w:rPr>
        <w:t xml:space="preserve">une </w:t>
      </w:r>
      <w:r w:rsidR="00BC5B46">
        <w:rPr>
          <w:lang w:val="fr-FR"/>
        </w:rPr>
        <w:t xml:space="preserve">résistance et essayé de prendre la fuite, </w:t>
      </w:r>
      <w:r w:rsidR="00BC5B46" w:rsidRPr="00F4460B">
        <w:rPr>
          <w:lang w:val="fr-FR"/>
        </w:rPr>
        <w:t xml:space="preserve">dans la zone tampon qui sépare la partie </w:t>
      </w:r>
      <w:r w:rsidR="00BC5B46">
        <w:rPr>
          <w:lang w:val="fr-FR"/>
        </w:rPr>
        <w:t>du territoire sous le contrôle de</w:t>
      </w:r>
      <w:r w:rsidR="00BC5B46" w:rsidRPr="00C64F59">
        <w:rPr>
          <w:lang w:val="fr-FR"/>
        </w:rPr>
        <w:t xml:space="preserve"> </w:t>
      </w:r>
      <w:r w:rsidR="00BC5B46" w:rsidRPr="00C64F59">
        <w:rPr>
          <w:rStyle w:val="sb8d990e2"/>
          <w:lang w:val="fr-FR"/>
        </w:rPr>
        <w:t xml:space="preserve">la République turque de </w:t>
      </w:r>
      <w:r w:rsidR="00BC5B46" w:rsidRPr="00C64F59">
        <w:rPr>
          <w:rStyle w:val="wordhighlighted"/>
          <w:lang w:val="fr-FR"/>
        </w:rPr>
        <w:t>Chypre</w:t>
      </w:r>
      <w:r w:rsidR="00BC5B46" w:rsidRPr="00C64F59">
        <w:rPr>
          <w:rStyle w:val="sb8d990e2"/>
          <w:lang w:val="fr-FR"/>
        </w:rPr>
        <w:t xml:space="preserve"> du Nord</w:t>
      </w:r>
      <w:r w:rsidR="00BC5B46">
        <w:rPr>
          <w:lang w:val="fr-FR"/>
        </w:rPr>
        <w:t xml:space="preserve"> de la partie du</w:t>
      </w:r>
      <w:r w:rsidR="00BC5B46" w:rsidRPr="00F4460B">
        <w:rPr>
          <w:lang w:val="fr-FR"/>
        </w:rPr>
        <w:t xml:space="preserve"> territoire placé sous l</w:t>
      </w:r>
      <w:r w:rsidR="00603708">
        <w:rPr>
          <w:lang w:val="fr-FR"/>
        </w:rPr>
        <w:t>’</w:t>
      </w:r>
      <w:r w:rsidR="00BC5B46" w:rsidRPr="00F4460B">
        <w:rPr>
          <w:lang w:val="fr-FR"/>
        </w:rPr>
        <w:t xml:space="preserve">autorité du gouvernement de </w:t>
      </w:r>
      <w:r w:rsidR="00BC5B46">
        <w:rPr>
          <w:lang w:val="fr-FR"/>
        </w:rPr>
        <w:t>Chypre</w:t>
      </w:r>
      <w:r w:rsidR="00403706">
        <w:rPr>
          <w:lang w:val="fr-FR"/>
        </w:rPr>
        <w:t> ; et</w:t>
      </w:r>
      <w:r w:rsidR="00BC5B46" w:rsidRPr="00AC0DAF">
        <w:rPr>
          <w:lang w:val="fr-FR"/>
        </w:rPr>
        <w:t xml:space="preserve"> </w:t>
      </w:r>
      <w:r w:rsidR="00BC5B46" w:rsidRPr="00AC0DAF">
        <w:rPr>
          <w:i/>
          <w:lang w:val="fr-FR"/>
        </w:rPr>
        <w:t>Gäfgen</w:t>
      </w:r>
      <w:r w:rsidR="00BC5B46" w:rsidRPr="00AC0DAF">
        <w:rPr>
          <w:lang w:val="fr-FR"/>
        </w:rPr>
        <w:t>, précité, §§ 107-108</w:t>
      </w:r>
      <w:r w:rsidR="00BC5B46">
        <w:rPr>
          <w:lang w:val="fr-FR"/>
        </w:rPr>
        <w:t> : menaces de torture</w:t>
      </w:r>
      <w:r w:rsidR="00BC5B46" w:rsidRPr="004A51F8">
        <w:rPr>
          <w:lang w:val="fr-FR"/>
        </w:rPr>
        <w:t xml:space="preserve"> </w:t>
      </w:r>
      <w:r w:rsidR="005B17F6">
        <w:rPr>
          <w:lang w:val="fr-FR"/>
        </w:rPr>
        <w:t>dans le but</w:t>
      </w:r>
      <w:r w:rsidR="005B17F6" w:rsidRPr="004A51F8">
        <w:rPr>
          <w:lang w:val="fr-FR"/>
        </w:rPr>
        <w:t xml:space="preserve"> </w:t>
      </w:r>
      <w:r w:rsidR="00BC5B46" w:rsidRPr="004A51F8">
        <w:rPr>
          <w:lang w:val="fr-FR"/>
        </w:rPr>
        <w:t>d</w:t>
      </w:r>
      <w:r w:rsidR="00603708">
        <w:rPr>
          <w:lang w:val="fr-FR"/>
        </w:rPr>
        <w:t>’</w:t>
      </w:r>
      <w:r w:rsidR="00BC5B46" w:rsidRPr="004A51F8">
        <w:rPr>
          <w:lang w:val="fr-FR"/>
        </w:rPr>
        <w:t xml:space="preserve">extorquer </w:t>
      </w:r>
      <w:r w:rsidR="00824605">
        <w:rPr>
          <w:lang w:val="fr-FR"/>
        </w:rPr>
        <w:t>au</w:t>
      </w:r>
      <w:r w:rsidR="00BC5B46">
        <w:rPr>
          <w:lang w:val="fr-FR"/>
        </w:rPr>
        <w:t xml:space="preserve"> requérant</w:t>
      </w:r>
      <w:r w:rsidR="00BC5B46" w:rsidRPr="004A51F8">
        <w:rPr>
          <w:lang w:val="fr-FR"/>
        </w:rPr>
        <w:t xml:space="preserve"> des informations sur le lieu où se trouvait un enfant kidnappé </w:t>
      </w:r>
      <w:r w:rsidR="00BC5B46">
        <w:rPr>
          <w:lang w:val="fr-FR"/>
        </w:rPr>
        <w:t>qu</w:t>
      </w:r>
      <w:r w:rsidR="00824605">
        <w:rPr>
          <w:lang w:val="fr-FR"/>
        </w:rPr>
        <w:t>e</w:t>
      </w:r>
      <w:r w:rsidR="00BC5B46">
        <w:rPr>
          <w:lang w:val="fr-FR"/>
        </w:rPr>
        <w:t xml:space="preserve"> les investigateurs</w:t>
      </w:r>
      <w:r w:rsidR="00BC5B46" w:rsidRPr="004A51F8">
        <w:rPr>
          <w:lang w:val="fr-FR"/>
        </w:rPr>
        <w:t xml:space="preserve"> croyaient encore </w:t>
      </w:r>
      <w:r w:rsidR="00824605">
        <w:rPr>
          <w:lang w:val="fr-FR"/>
        </w:rPr>
        <w:t>vie</w:t>
      </w:r>
      <w:r w:rsidR="00F011AD">
        <w:rPr>
          <w:lang w:val="fr-FR"/>
        </w:rPr>
        <w:t>,</w:t>
      </w:r>
      <w:r w:rsidR="00824605" w:rsidRPr="004A51F8">
        <w:rPr>
          <w:lang w:val="fr-FR"/>
        </w:rPr>
        <w:t xml:space="preserve"> </w:t>
      </w:r>
      <w:r w:rsidR="00BC5B46" w:rsidRPr="004A51F8">
        <w:rPr>
          <w:lang w:val="fr-FR"/>
        </w:rPr>
        <w:t>mais en grave danger</w:t>
      </w:r>
      <w:r w:rsidR="00BC5B46">
        <w:rPr>
          <w:lang w:val="fr-FR"/>
        </w:rPr>
        <w:t>)</w:t>
      </w:r>
      <w:r w:rsidR="00BC5B46" w:rsidRPr="004A51F8">
        <w:rPr>
          <w:lang w:val="fr-FR"/>
        </w:rPr>
        <w:t>.</w:t>
      </w:r>
    </w:p>
    <w:p w:rsidR="00BC5B46" w:rsidRPr="004A51F8" w:rsidRDefault="00CC141A" w:rsidP="00BC5B46">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187</w:t>
      </w:r>
      <w:r>
        <w:rPr>
          <w:lang w:val="fr-FR"/>
        </w:rPr>
        <w:fldChar w:fldCharType="end"/>
      </w:r>
      <w:r>
        <w:rPr>
          <w:lang w:val="fr-FR"/>
        </w:rPr>
        <w:t>.  </w:t>
      </w:r>
      <w:r w:rsidR="00E55EB4">
        <w:rPr>
          <w:lang w:val="fr-FR"/>
        </w:rPr>
        <w:t>En l</w:t>
      </w:r>
      <w:r w:rsidR="00603708">
        <w:rPr>
          <w:lang w:val="fr-FR"/>
        </w:rPr>
        <w:t>’</w:t>
      </w:r>
      <w:r w:rsidR="00E55EB4">
        <w:rPr>
          <w:lang w:val="fr-FR"/>
        </w:rPr>
        <w:t>espèce,</w:t>
      </w:r>
      <w:r w:rsidR="00BC5B46">
        <w:rPr>
          <w:lang w:val="fr-FR"/>
        </w:rPr>
        <w:t xml:space="preserve"> si </w:t>
      </w:r>
      <w:r w:rsidR="00F011AD">
        <w:rPr>
          <w:lang w:val="fr-FR"/>
        </w:rPr>
        <w:t>la juridiction</w:t>
      </w:r>
      <w:r w:rsidR="00BC5B46" w:rsidRPr="004A51F8">
        <w:rPr>
          <w:lang w:val="fr-FR"/>
        </w:rPr>
        <w:t xml:space="preserve"> de première instance a reconnu que les accusés avaient agi </w:t>
      </w:r>
      <w:r w:rsidR="00BC5B46">
        <w:rPr>
          <w:lang w:val="fr-FR"/>
        </w:rPr>
        <w:t>« </w:t>
      </w:r>
      <w:r w:rsidR="00BC5B46" w:rsidRPr="004A51F8">
        <w:rPr>
          <w:lang w:val="fr-FR"/>
        </w:rPr>
        <w:t>en condition de stress et fatigue</w:t>
      </w:r>
      <w:r w:rsidR="00BC5B46">
        <w:rPr>
          <w:lang w:val="fr-FR"/>
        </w:rPr>
        <w:t> » lors de l</w:t>
      </w:r>
      <w:r w:rsidR="00603708">
        <w:rPr>
          <w:lang w:val="fr-FR"/>
        </w:rPr>
        <w:t>’</w:t>
      </w:r>
      <w:r w:rsidR="00BC5B46">
        <w:rPr>
          <w:lang w:val="fr-FR"/>
        </w:rPr>
        <w:t>irruption dans l</w:t>
      </w:r>
      <w:r w:rsidR="00603708">
        <w:rPr>
          <w:lang w:val="fr-FR"/>
        </w:rPr>
        <w:t>’</w:t>
      </w:r>
      <w:r w:rsidR="00BC5B46">
        <w:rPr>
          <w:lang w:val="fr-FR"/>
        </w:rPr>
        <w:t>école Diaz-Pertini</w:t>
      </w:r>
      <w:r w:rsidR="00BC5B46" w:rsidRPr="00F455DD">
        <w:rPr>
          <w:lang w:val="fr-FR"/>
        </w:rPr>
        <w:t xml:space="preserve"> </w:t>
      </w:r>
      <w:r w:rsidR="00BC5B46">
        <w:rPr>
          <w:lang w:val="fr-FR"/>
        </w:rPr>
        <w:t>(</w:t>
      </w:r>
      <w:r w:rsidR="008F1FEB" w:rsidRPr="00AC0DAF">
        <w:rPr>
          <w:lang w:val="fr-FR"/>
        </w:rPr>
        <w:t>paragraphe 50</w:t>
      </w:r>
      <w:r w:rsidR="00BC5B46" w:rsidRPr="00AC0DAF">
        <w:rPr>
          <w:lang w:val="fr-FR"/>
        </w:rPr>
        <w:t xml:space="preserve"> </w:t>
      </w:r>
      <w:r w:rsidR="0065009A" w:rsidRPr="00AC0DAF">
        <w:rPr>
          <w:lang w:val="fr-FR"/>
        </w:rPr>
        <w:t>ci-dessus</w:t>
      </w:r>
      <w:r w:rsidR="00BC5B46" w:rsidRPr="00C7391C">
        <w:rPr>
          <w:lang w:val="fr-FR"/>
        </w:rPr>
        <w:t>)</w:t>
      </w:r>
      <w:r w:rsidR="00BC5B46">
        <w:rPr>
          <w:lang w:val="fr-FR"/>
        </w:rPr>
        <w:t xml:space="preserve">, </w:t>
      </w:r>
      <w:r w:rsidR="00F011AD">
        <w:rPr>
          <w:lang w:val="fr-FR"/>
        </w:rPr>
        <w:t xml:space="preserve">la cour </w:t>
      </w:r>
      <w:r w:rsidR="00BC5B46">
        <w:rPr>
          <w:lang w:val="fr-FR"/>
        </w:rPr>
        <w:t>d</w:t>
      </w:r>
      <w:r w:rsidR="00603708">
        <w:rPr>
          <w:lang w:val="fr-FR"/>
        </w:rPr>
        <w:t>’</w:t>
      </w:r>
      <w:r w:rsidR="00BC5B46">
        <w:rPr>
          <w:lang w:val="fr-FR"/>
        </w:rPr>
        <w:t>appel</w:t>
      </w:r>
      <w:r w:rsidR="00F011AD">
        <w:rPr>
          <w:lang w:val="fr-FR"/>
        </w:rPr>
        <w:t xml:space="preserve"> comme la Cour</w:t>
      </w:r>
      <w:r w:rsidR="00BC5B46">
        <w:rPr>
          <w:lang w:val="fr-FR"/>
        </w:rPr>
        <w:t xml:space="preserve"> de cassation</w:t>
      </w:r>
      <w:r w:rsidR="00F011AD">
        <w:rPr>
          <w:lang w:val="fr-FR"/>
        </w:rPr>
        <w:t xml:space="preserve"> n</w:t>
      </w:r>
      <w:r w:rsidR="00603708">
        <w:rPr>
          <w:lang w:val="fr-FR"/>
        </w:rPr>
        <w:t>’</w:t>
      </w:r>
      <w:r w:rsidR="00F011AD">
        <w:rPr>
          <w:lang w:val="fr-FR"/>
        </w:rPr>
        <w:t>ont</w:t>
      </w:r>
      <w:r w:rsidR="00BC5B46">
        <w:rPr>
          <w:lang w:val="fr-FR"/>
        </w:rPr>
        <w:t xml:space="preserve"> pas retenu cette circonstance atténuante</w:t>
      </w:r>
      <w:r w:rsidR="00BC5B46" w:rsidRPr="004A51F8">
        <w:rPr>
          <w:lang w:val="fr-FR"/>
        </w:rPr>
        <w:t xml:space="preserve"> </w:t>
      </w:r>
      <w:r>
        <w:rPr>
          <w:lang w:val="fr-FR"/>
        </w:rPr>
        <w:t>(</w:t>
      </w:r>
      <w:r w:rsidRPr="00AC0DAF">
        <w:rPr>
          <w:lang w:val="fr-FR"/>
        </w:rPr>
        <w:t xml:space="preserve">paragraphe </w:t>
      </w:r>
      <w:r w:rsidR="008F1FEB" w:rsidRPr="00AC0DAF">
        <w:rPr>
          <w:lang w:val="fr-FR"/>
        </w:rPr>
        <w:t>73</w:t>
      </w:r>
      <w:r w:rsidRPr="00AC0DAF">
        <w:rPr>
          <w:lang w:val="fr-FR"/>
        </w:rPr>
        <w:t xml:space="preserve"> ci-dessus</w:t>
      </w:r>
      <w:r>
        <w:rPr>
          <w:lang w:val="fr-FR"/>
        </w:rPr>
        <w:t>)</w:t>
      </w:r>
      <w:r w:rsidR="00812D7F">
        <w:rPr>
          <w:lang w:val="fr-FR"/>
        </w:rPr>
        <w:t>.</w:t>
      </w:r>
    </w:p>
    <w:p w:rsidR="009F7CB6" w:rsidRPr="00661A98" w:rsidRDefault="00EE0181" w:rsidP="00661A98">
      <w:pPr>
        <w:pStyle w:val="ECHRPara"/>
        <w:rPr>
          <w:i/>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188</w:t>
      </w:r>
      <w:r>
        <w:rPr>
          <w:lang w:val="fr-FR"/>
        </w:rPr>
        <w:fldChar w:fldCharType="end"/>
      </w:r>
      <w:r>
        <w:rPr>
          <w:lang w:val="fr-FR"/>
        </w:rPr>
        <w:t>.  </w:t>
      </w:r>
      <w:r w:rsidR="00807C57">
        <w:rPr>
          <w:lang w:val="fr-FR"/>
        </w:rPr>
        <w:t xml:space="preserve">Or </w:t>
      </w:r>
      <w:r w:rsidR="001407C3">
        <w:rPr>
          <w:lang w:val="fr-FR"/>
        </w:rPr>
        <w:t xml:space="preserve">il incombe à </w:t>
      </w:r>
      <w:r w:rsidR="00807C57">
        <w:rPr>
          <w:lang w:val="fr-FR"/>
        </w:rPr>
        <w:t xml:space="preserve">la Cour </w:t>
      </w:r>
      <w:r w:rsidR="001407C3">
        <w:rPr>
          <w:lang w:val="fr-FR"/>
        </w:rPr>
        <w:t>de</w:t>
      </w:r>
      <w:r w:rsidR="00807C57">
        <w:rPr>
          <w:lang w:val="fr-FR"/>
        </w:rPr>
        <w:t xml:space="preserve"> </w:t>
      </w:r>
      <w:r w:rsidR="00807C57" w:rsidRPr="008F7BFA">
        <w:rPr>
          <w:rStyle w:val="sb8d990e2"/>
          <w:lang w:val="fr-FR"/>
        </w:rPr>
        <w:t xml:space="preserve">statuer </w:t>
      </w:r>
      <w:r w:rsidR="001407C3">
        <w:rPr>
          <w:rStyle w:val="sb8d990e2"/>
          <w:lang w:val="fr-FR"/>
        </w:rPr>
        <w:t xml:space="preserve">non pas </w:t>
      </w:r>
      <w:r w:rsidR="00807C57" w:rsidRPr="008F7BFA">
        <w:rPr>
          <w:rStyle w:val="sb8d990e2"/>
          <w:lang w:val="fr-FR"/>
        </w:rPr>
        <w:t>sur la culpabilité en vertu du droit pénal ou sur la responsabilité civile, mais sur la responsabilité des États contractants au regard de la Convention</w:t>
      </w:r>
      <w:r w:rsidR="00807C57">
        <w:rPr>
          <w:rStyle w:val="sb8d990e2"/>
          <w:lang w:val="fr-FR"/>
        </w:rPr>
        <w:t xml:space="preserve"> (</w:t>
      </w:r>
      <w:r w:rsidR="00807C57" w:rsidRPr="00AC0DAF">
        <w:rPr>
          <w:rStyle w:val="sb8d990e2"/>
          <w:i/>
          <w:lang w:val="fr-FR"/>
        </w:rPr>
        <w:t>El-Masri</w:t>
      </w:r>
      <w:r w:rsidR="00807C57" w:rsidRPr="00AC0DAF">
        <w:rPr>
          <w:rStyle w:val="sb8d990e2"/>
          <w:lang w:val="fr-FR"/>
        </w:rPr>
        <w:t>, précité, § 151</w:t>
      </w:r>
      <w:r w:rsidR="00807C57" w:rsidRPr="00C7391C">
        <w:rPr>
          <w:rStyle w:val="sb8d990e2"/>
          <w:lang w:val="fr-FR"/>
        </w:rPr>
        <w:t>)</w:t>
      </w:r>
      <w:r w:rsidR="00807C57" w:rsidRPr="008F7BFA">
        <w:rPr>
          <w:rStyle w:val="sb8d990e2"/>
          <w:lang w:val="fr-FR"/>
        </w:rPr>
        <w:t>.</w:t>
      </w:r>
      <w:r w:rsidR="00812D7F">
        <w:rPr>
          <w:rStyle w:val="sb8d990e2"/>
          <w:lang w:val="fr-FR"/>
        </w:rPr>
        <w:t xml:space="preserve"> </w:t>
      </w:r>
      <w:r w:rsidR="003B0573">
        <w:rPr>
          <w:rStyle w:val="sb8d990e2"/>
          <w:lang w:val="fr-FR"/>
        </w:rPr>
        <w:t>En ce qui concerne, en particulier, l</w:t>
      </w:r>
      <w:r w:rsidR="00603708">
        <w:rPr>
          <w:rStyle w:val="sb8d990e2"/>
          <w:lang w:val="fr-FR"/>
        </w:rPr>
        <w:t>’</w:t>
      </w:r>
      <w:r w:rsidR="009F7CB6" w:rsidRPr="008F7BFA">
        <w:rPr>
          <w:lang w:val="fr-FR"/>
        </w:rPr>
        <w:t xml:space="preserve">article 3 de la Convention, </w:t>
      </w:r>
      <w:r w:rsidR="003B0573">
        <w:rPr>
          <w:lang w:val="fr-FR"/>
        </w:rPr>
        <w:t xml:space="preserve">la Cour </w:t>
      </w:r>
      <w:r w:rsidR="001407C3">
        <w:rPr>
          <w:lang w:val="fr-FR"/>
        </w:rPr>
        <w:t>a dit maintes fois</w:t>
      </w:r>
      <w:r w:rsidR="003B0573">
        <w:rPr>
          <w:lang w:val="fr-FR"/>
        </w:rPr>
        <w:t xml:space="preserve"> que cette disposition </w:t>
      </w:r>
      <w:r w:rsidR="009F7CB6" w:rsidRPr="008F7BFA">
        <w:rPr>
          <w:lang w:val="fr-FR"/>
        </w:rPr>
        <w:t>consacre l</w:t>
      </w:r>
      <w:r w:rsidR="00603708">
        <w:rPr>
          <w:lang w:val="fr-FR"/>
        </w:rPr>
        <w:t>’</w:t>
      </w:r>
      <w:r w:rsidR="009F7CB6" w:rsidRPr="008F7BFA">
        <w:rPr>
          <w:lang w:val="fr-FR"/>
        </w:rPr>
        <w:t xml:space="preserve">une des valeurs fondamentales des sociétés démocratiques. </w:t>
      </w:r>
      <w:r w:rsidR="003B0573">
        <w:rPr>
          <w:lang w:val="fr-FR"/>
        </w:rPr>
        <w:t>L</w:t>
      </w:r>
      <w:r w:rsidR="00603708">
        <w:rPr>
          <w:lang w:val="fr-FR"/>
        </w:rPr>
        <w:t>’</w:t>
      </w:r>
      <w:r w:rsidR="003B0573">
        <w:rPr>
          <w:lang w:val="fr-FR"/>
        </w:rPr>
        <w:t>article 3</w:t>
      </w:r>
      <w:r w:rsidR="009F7CB6" w:rsidRPr="008F7BFA">
        <w:rPr>
          <w:lang w:val="fr-FR"/>
        </w:rPr>
        <w:t xml:space="preserve"> ne prévoit pas d</w:t>
      </w:r>
      <w:r w:rsidR="00603708">
        <w:rPr>
          <w:lang w:val="fr-FR"/>
        </w:rPr>
        <w:t>’</w:t>
      </w:r>
      <w:r w:rsidR="009F7CB6" w:rsidRPr="008F7BFA">
        <w:rPr>
          <w:lang w:val="fr-FR"/>
        </w:rPr>
        <w:t>exceptions, en quoi il contraste avec la majorité des clauses normatives de la Convention, et d</w:t>
      </w:r>
      <w:r w:rsidR="00603708">
        <w:rPr>
          <w:lang w:val="fr-FR"/>
        </w:rPr>
        <w:t>’</w:t>
      </w:r>
      <w:r w:rsidR="009F7CB6" w:rsidRPr="008F7BFA">
        <w:rPr>
          <w:lang w:val="fr-FR"/>
        </w:rPr>
        <w:t>après l</w:t>
      </w:r>
      <w:r w:rsidR="00603708">
        <w:rPr>
          <w:lang w:val="fr-FR"/>
        </w:rPr>
        <w:t>’</w:t>
      </w:r>
      <w:r w:rsidR="009F7CB6" w:rsidRPr="008F7BFA">
        <w:rPr>
          <w:lang w:val="fr-FR"/>
        </w:rPr>
        <w:t>article 15 § 2 il ne souffre nulle dérogation, même en cas de danger public menaçant la vie de la nation (</w:t>
      </w:r>
      <w:r w:rsidR="007908CC" w:rsidRPr="00AC0DAF">
        <w:rPr>
          <w:i/>
          <w:lang w:val="fr-FR"/>
        </w:rPr>
        <w:t>Selmouni</w:t>
      </w:r>
      <w:r w:rsidR="009F7CB6" w:rsidRPr="00AC0DAF">
        <w:rPr>
          <w:lang w:val="fr-FR"/>
        </w:rPr>
        <w:t>,</w:t>
      </w:r>
      <w:r w:rsidR="003B0573" w:rsidRPr="00AC0DAF">
        <w:rPr>
          <w:lang w:val="fr-FR"/>
        </w:rPr>
        <w:t xml:space="preserve"> précité,</w:t>
      </w:r>
      <w:r w:rsidR="009F7CB6" w:rsidRPr="00AC0DAF">
        <w:rPr>
          <w:lang w:val="fr-FR"/>
        </w:rPr>
        <w:t xml:space="preserve"> § 95</w:t>
      </w:r>
      <w:r w:rsidR="00824605">
        <w:rPr>
          <w:lang w:val="fr-FR"/>
        </w:rPr>
        <w:t>,</w:t>
      </w:r>
      <w:r w:rsidR="009F7CB6" w:rsidRPr="00AC0DAF">
        <w:rPr>
          <w:lang w:val="fr-FR"/>
        </w:rPr>
        <w:t xml:space="preserve"> </w:t>
      </w:r>
      <w:r w:rsidR="003B0573" w:rsidRPr="00AC0DAF">
        <w:rPr>
          <w:i/>
          <w:lang w:val="fr-FR"/>
        </w:rPr>
        <w:t>Labita</w:t>
      </w:r>
      <w:r w:rsidR="003B0573" w:rsidRPr="00AC0DAF">
        <w:rPr>
          <w:lang w:val="fr-FR"/>
        </w:rPr>
        <w:t>, précité, § 119</w:t>
      </w:r>
      <w:r w:rsidR="00824605">
        <w:rPr>
          <w:lang w:val="fr-FR"/>
        </w:rPr>
        <w:t>,</w:t>
      </w:r>
      <w:r w:rsidR="003B0573" w:rsidRPr="00AC0DAF">
        <w:rPr>
          <w:lang w:val="fr-FR"/>
        </w:rPr>
        <w:t xml:space="preserve"> </w:t>
      </w:r>
      <w:r w:rsidR="00F44FF5" w:rsidRPr="00AC0DAF">
        <w:rPr>
          <w:i/>
          <w:lang w:val="fr-FR"/>
        </w:rPr>
        <w:t>Gäfgen</w:t>
      </w:r>
      <w:r w:rsidR="00661A98" w:rsidRPr="00AC0DAF">
        <w:rPr>
          <w:lang w:val="fr-FR"/>
        </w:rPr>
        <w:t>, précité, § 87</w:t>
      </w:r>
      <w:r w:rsidR="00824605">
        <w:rPr>
          <w:lang w:val="fr-FR"/>
        </w:rPr>
        <w:t>, et</w:t>
      </w:r>
      <w:r w:rsidR="00661A98" w:rsidRPr="00AC0DAF">
        <w:rPr>
          <w:i/>
          <w:lang w:val="fr-FR"/>
        </w:rPr>
        <w:t xml:space="preserve"> El-Masri</w:t>
      </w:r>
      <w:r w:rsidR="00661A98" w:rsidRPr="00AC0DAF">
        <w:rPr>
          <w:lang w:val="fr-FR"/>
        </w:rPr>
        <w:t>, précité, § 195</w:t>
      </w:r>
      <w:r w:rsidR="00661A98">
        <w:rPr>
          <w:lang w:val="fr-FR"/>
        </w:rPr>
        <w:t>)</w:t>
      </w:r>
      <w:r w:rsidR="009F7CB6" w:rsidRPr="008F7BFA">
        <w:rPr>
          <w:lang w:val="fr-FR"/>
        </w:rPr>
        <w:t>. La Cour a confirmé que même dans les circonstances les plus difficiles, telle</w:t>
      </w:r>
      <w:r w:rsidR="00F011AD">
        <w:rPr>
          <w:lang w:val="fr-FR"/>
        </w:rPr>
        <w:t>s que</w:t>
      </w:r>
      <w:r w:rsidR="009F7CB6" w:rsidRPr="008F7BFA">
        <w:rPr>
          <w:lang w:val="fr-FR"/>
        </w:rPr>
        <w:t xml:space="preserve"> la lutte contre le terrorisme et le crime organisé, la Convention prohibe en termes absolus la torture et les peines ou traitements inhumains ou dégradants, quels que soient les agissements de la victime (</w:t>
      </w:r>
      <w:r w:rsidR="00661A98" w:rsidRPr="00AC0DAF">
        <w:rPr>
          <w:i/>
          <w:lang w:val="fr-FR"/>
        </w:rPr>
        <w:t>Labita</w:t>
      </w:r>
      <w:r w:rsidR="00661A98" w:rsidRPr="00AC0DAF">
        <w:rPr>
          <w:lang w:val="fr-FR"/>
        </w:rPr>
        <w:t xml:space="preserve">, </w:t>
      </w:r>
      <w:r w:rsidR="00F44FF5" w:rsidRPr="00AC0DAF">
        <w:rPr>
          <w:i/>
          <w:lang w:val="fr-FR"/>
        </w:rPr>
        <w:t>Gäfgen</w:t>
      </w:r>
      <w:r w:rsidR="00661A98" w:rsidRPr="00AC0DAF">
        <w:rPr>
          <w:lang w:val="fr-FR"/>
        </w:rPr>
        <w:t xml:space="preserve"> et </w:t>
      </w:r>
      <w:r w:rsidR="00661A98" w:rsidRPr="00AC0DAF">
        <w:rPr>
          <w:i/>
          <w:lang w:val="fr-FR"/>
        </w:rPr>
        <w:t>El-Masri</w:t>
      </w:r>
      <w:r w:rsidR="00661A98" w:rsidRPr="00AC0DAF">
        <w:rPr>
          <w:lang w:val="fr-FR"/>
        </w:rPr>
        <w:t>,</w:t>
      </w:r>
      <w:r w:rsidR="0064289D">
        <w:rPr>
          <w:lang w:val="fr-FR"/>
        </w:rPr>
        <w:t xml:space="preserve"> précités,</w:t>
      </w:r>
      <w:r w:rsidR="00661A98" w:rsidRPr="00AC0DAF">
        <w:rPr>
          <w:lang w:val="fr-FR"/>
        </w:rPr>
        <w:t xml:space="preserve"> </w:t>
      </w:r>
      <w:r w:rsidR="00661A98" w:rsidRPr="00AC0DAF">
        <w:rPr>
          <w:i/>
          <w:lang w:val="fr-FR"/>
        </w:rPr>
        <w:t>idem</w:t>
      </w:r>
      <w:r w:rsidR="009F7CB6" w:rsidRPr="008F7BFA">
        <w:rPr>
          <w:lang w:val="fr-FR"/>
        </w:rPr>
        <w:t>).</w:t>
      </w:r>
    </w:p>
    <w:p w:rsidR="00B21BE2" w:rsidRDefault="007B6490" w:rsidP="00FD6121">
      <w:pPr>
        <w:pStyle w:val="ECHRPara"/>
        <w:rPr>
          <w:rStyle w:val="sb8d990e2"/>
          <w:lang w:val="fr-FR"/>
        </w:rPr>
      </w:pPr>
      <w:r>
        <w:rPr>
          <w:rStyle w:val="sb8d990e2"/>
          <w:lang w:val="fr-FR"/>
        </w:rPr>
        <w:fldChar w:fldCharType="begin"/>
      </w:r>
      <w:r>
        <w:rPr>
          <w:rStyle w:val="sb8d990e2"/>
          <w:lang w:val="fr-FR"/>
        </w:rPr>
        <w:instrText xml:space="preserve"> SEQ level0 \*arabic </w:instrText>
      </w:r>
      <w:r>
        <w:rPr>
          <w:rStyle w:val="sb8d990e2"/>
          <w:lang w:val="fr-FR"/>
        </w:rPr>
        <w:fldChar w:fldCharType="separate"/>
      </w:r>
      <w:r w:rsidR="00B378F9">
        <w:rPr>
          <w:rStyle w:val="sb8d990e2"/>
          <w:noProof/>
          <w:lang w:val="fr-FR"/>
        </w:rPr>
        <w:t>189</w:t>
      </w:r>
      <w:r>
        <w:rPr>
          <w:rStyle w:val="sb8d990e2"/>
          <w:lang w:val="fr-FR"/>
        </w:rPr>
        <w:fldChar w:fldCharType="end"/>
      </w:r>
      <w:r>
        <w:rPr>
          <w:rStyle w:val="sb8d990e2"/>
          <w:lang w:val="fr-FR"/>
        </w:rPr>
        <w:t>.  </w:t>
      </w:r>
      <w:r w:rsidR="00B21BE2">
        <w:rPr>
          <w:rStyle w:val="sb8d990e2"/>
          <w:lang w:val="fr-FR"/>
        </w:rPr>
        <w:t xml:space="preserve">Dès lors, </w:t>
      </w:r>
      <w:r w:rsidR="00BD4B6A">
        <w:rPr>
          <w:rStyle w:val="sb8d990e2"/>
          <w:lang w:val="fr-FR"/>
        </w:rPr>
        <w:t xml:space="preserve">et </w:t>
      </w:r>
      <w:r w:rsidR="00B21BE2">
        <w:rPr>
          <w:rStyle w:val="sb8d990e2"/>
          <w:lang w:val="fr-FR"/>
        </w:rPr>
        <w:t>s</w:t>
      </w:r>
      <w:r w:rsidR="00FD6121">
        <w:rPr>
          <w:rStyle w:val="sb8d990e2"/>
          <w:lang w:val="fr-FR"/>
        </w:rPr>
        <w:t xml:space="preserve">ans </w:t>
      </w:r>
      <w:r w:rsidR="007173D9">
        <w:rPr>
          <w:rStyle w:val="sb8d990e2"/>
          <w:lang w:val="fr-FR"/>
        </w:rPr>
        <w:t xml:space="preserve">vouloir ainsi </w:t>
      </w:r>
      <w:r w:rsidR="00FD6121">
        <w:rPr>
          <w:rStyle w:val="sb8d990e2"/>
          <w:lang w:val="fr-FR"/>
        </w:rPr>
        <w:t xml:space="preserve">mésestimer </w:t>
      </w:r>
      <w:r w:rsidR="009313E0" w:rsidRPr="009313E0">
        <w:rPr>
          <w:rStyle w:val="sb8d990e2"/>
          <w:lang w:val="fr-FR"/>
        </w:rPr>
        <w:t>la difficulté de la mission de la police dans les sociétés contemporaines et l</w:t>
      </w:r>
      <w:r w:rsidR="00603708">
        <w:rPr>
          <w:rStyle w:val="sb8d990e2"/>
          <w:lang w:val="fr-FR"/>
        </w:rPr>
        <w:t>’</w:t>
      </w:r>
      <w:r w:rsidR="009313E0" w:rsidRPr="009313E0">
        <w:rPr>
          <w:rStyle w:val="sb8d990e2"/>
          <w:lang w:val="fr-FR"/>
        </w:rPr>
        <w:t>imprévisibilité du comportement humain</w:t>
      </w:r>
      <w:r w:rsidR="00FD6121">
        <w:rPr>
          <w:rStyle w:val="sb8d990e2"/>
          <w:lang w:val="fr-FR"/>
        </w:rPr>
        <w:t xml:space="preserve"> </w:t>
      </w:r>
      <w:r w:rsidR="009313E0">
        <w:rPr>
          <w:rStyle w:val="sb8d990e2"/>
          <w:lang w:val="fr-FR"/>
        </w:rPr>
        <w:t>(</w:t>
      </w:r>
      <w:r w:rsidR="0064289D">
        <w:rPr>
          <w:rStyle w:val="sb8d990e2"/>
          <w:lang w:val="fr-FR"/>
        </w:rPr>
        <w:t xml:space="preserve">voir, </w:t>
      </w:r>
      <w:r w:rsidR="00FD6121" w:rsidRPr="00AC0DAF">
        <w:rPr>
          <w:rStyle w:val="sb8d990e2"/>
          <w:i/>
          <w:lang w:val="fr-FR"/>
        </w:rPr>
        <w:t>mutatis mutandis</w:t>
      </w:r>
      <w:r w:rsidR="00FD6121" w:rsidRPr="00AC0DAF">
        <w:rPr>
          <w:rStyle w:val="sb8d990e2"/>
          <w:lang w:val="fr-FR"/>
        </w:rPr>
        <w:t xml:space="preserve">, </w:t>
      </w:r>
      <w:r w:rsidR="009313E0" w:rsidRPr="00AC0DAF">
        <w:rPr>
          <w:i/>
          <w:szCs w:val="24"/>
          <w:lang w:val="fr-FR"/>
        </w:rPr>
        <w:t>Tzekov c. Bulgarie</w:t>
      </w:r>
      <w:r w:rsidR="009313E0" w:rsidRPr="00AC0DAF">
        <w:rPr>
          <w:szCs w:val="24"/>
          <w:lang w:val="fr-FR"/>
        </w:rPr>
        <w:t xml:space="preserve">, </w:t>
      </w:r>
      <w:r w:rsidR="0064289D" w:rsidRPr="00A16CA6">
        <w:rPr>
          <w:szCs w:val="24"/>
          <w:lang w:val="fr-FR"/>
        </w:rPr>
        <w:t>n</w:t>
      </w:r>
      <w:r w:rsidR="0064289D" w:rsidRPr="00A16CA6">
        <w:rPr>
          <w:szCs w:val="24"/>
          <w:vertAlign w:val="superscript"/>
          <w:lang w:val="fr-FR"/>
        </w:rPr>
        <w:t>o</w:t>
      </w:r>
      <w:r w:rsidR="0064289D" w:rsidRPr="00A16CA6">
        <w:rPr>
          <w:szCs w:val="24"/>
          <w:lang w:val="fr-FR"/>
        </w:rPr>
        <w:t> </w:t>
      </w:r>
      <w:r w:rsidR="009313E0" w:rsidRPr="00A16CA6">
        <w:rPr>
          <w:szCs w:val="24"/>
          <w:lang w:val="fr-FR"/>
        </w:rPr>
        <w:t>45500/99, § 61, 23 février 2006</w:t>
      </w:r>
      <w:r w:rsidR="00FD6121" w:rsidRPr="00A16CA6">
        <w:rPr>
          <w:szCs w:val="24"/>
          <w:lang w:val="fr-FR"/>
        </w:rPr>
        <w:t xml:space="preserve">), </w:t>
      </w:r>
      <w:r w:rsidR="00E55EB4" w:rsidRPr="00A16CA6">
        <w:rPr>
          <w:rStyle w:val="sb8d990e2"/>
          <w:lang w:val="fr-FR"/>
        </w:rPr>
        <w:t>elle</w:t>
      </w:r>
      <w:r w:rsidR="007173D9" w:rsidRPr="00A16CA6">
        <w:rPr>
          <w:rStyle w:val="sb8d990e2"/>
          <w:lang w:val="fr-FR"/>
        </w:rPr>
        <w:t xml:space="preserve"> </w:t>
      </w:r>
      <w:r w:rsidR="00B21BE2" w:rsidRPr="00A16CA6">
        <w:rPr>
          <w:rStyle w:val="sb8d990e2"/>
          <w:lang w:val="fr-FR"/>
        </w:rPr>
        <w:t>souligne,</w:t>
      </w:r>
      <w:r w:rsidR="007966DC" w:rsidRPr="00A16CA6">
        <w:rPr>
          <w:rStyle w:val="sb8d990e2"/>
          <w:lang w:val="fr-FR"/>
        </w:rPr>
        <w:t xml:space="preserve"> </w:t>
      </w:r>
      <w:r w:rsidR="00B21BE2" w:rsidRPr="00A16CA6">
        <w:rPr>
          <w:lang w:val="fr-FR"/>
        </w:rPr>
        <w:t>en l</w:t>
      </w:r>
      <w:r w:rsidR="00603708">
        <w:rPr>
          <w:lang w:val="fr-FR"/>
        </w:rPr>
        <w:t>’</w:t>
      </w:r>
      <w:r w:rsidR="00B21BE2" w:rsidRPr="00A16CA6">
        <w:rPr>
          <w:lang w:val="fr-FR"/>
        </w:rPr>
        <w:t>espèce,</w:t>
      </w:r>
      <w:r w:rsidR="00B21BE2" w:rsidRPr="00A16CA6">
        <w:rPr>
          <w:rStyle w:val="sb8d990e2"/>
          <w:lang w:val="fr-FR"/>
        </w:rPr>
        <w:t xml:space="preserve"> les éléments</w:t>
      </w:r>
      <w:r w:rsidR="00B21BE2">
        <w:rPr>
          <w:rStyle w:val="sb8d990e2"/>
          <w:lang w:val="fr-FR"/>
        </w:rPr>
        <w:t xml:space="preserve"> suivant</w:t>
      </w:r>
      <w:r w:rsidR="008D3288">
        <w:rPr>
          <w:rStyle w:val="sb8d990e2"/>
          <w:lang w:val="fr-FR"/>
        </w:rPr>
        <w:t>s</w:t>
      </w:r>
      <w:r w:rsidR="00B21BE2">
        <w:rPr>
          <w:rStyle w:val="sb8d990e2"/>
          <w:lang w:val="fr-FR"/>
        </w:rPr>
        <w:t> :</w:t>
      </w:r>
    </w:p>
    <w:p w:rsidR="0032468C" w:rsidRDefault="003A0DA9" w:rsidP="00FD6121">
      <w:pPr>
        <w:pStyle w:val="ECHRPara"/>
        <w:rPr>
          <w:lang w:val="fr-FR"/>
        </w:rPr>
      </w:pPr>
      <w:r>
        <w:rPr>
          <w:rStyle w:val="sb8d990e2"/>
          <w:lang w:val="fr-FR"/>
        </w:rPr>
        <w:t>–  </w:t>
      </w:r>
      <w:r w:rsidR="00B104E5">
        <w:rPr>
          <w:rStyle w:val="sb8d990e2"/>
          <w:lang w:val="fr-FR"/>
        </w:rPr>
        <w:t>l</w:t>
      </w:r>
      <w:r w:rsidR="00603708">
        <w:rPr>
          <w:rStyle w:val="sb8d990e2"/>
          <w:lang w:val="fr-FR"/>
        </w:rPr>
        <w:t>’</w:t>
      </w:r>
      <w:r w:rsidR="0064289D">
        <w:rPr>
          <w:rStyle w:val="sb8d990e2"/>
          <w:lang w:val="fr-FR"/>
        </w:rPr>
        <w:t>irruption</w:t>
      </w:r>
      <w:r w:rsidR="00B104E5">
        <w:rPr>
          <w:rStyle w:val="sb8d990e2"/>
          <w:lang w:val="fr-FR"/>
        </w:rPr>
        <w:t xml:space="preserve"> de la police dans l</w:t>
      </w:r>
      <w:r w:rsidR="00603708">
        <w:rPr>
          <w:rStyle w:val="sb8d990e2"/>
          <w:lang w:val="fr-FR"/>
        </w:rPr>
        <w:t>’</w:t>
      </w:r>
      <w:r w:rsidR="00B104E5">
        <w:rPr>
          <w:rStyle w:val="sb8d990e2"/>
          <w:lang w:val="fr-FR"/>
        </w:rPr>
        <w:t>école Diaz-Pertini a eu lieu</w:t>
      </w:r>
      <w:r w:rsidR="00B104E5" w:rsidRPr="004A51F8">
        <w:rPr>
          <w:lang w:val="fr-FR"/>
        </w:rPr>
        <w:t xml:space="preserve"> dans la nuit du 21 au 22 juillet,</w:t>
      </w:r>
      <w:r w:rsidR="00B104E5">
        <w:rPr>
          <w:rStyle w:val="sb8d990e2"/>
          <w:lang w:val="fr-FR"/>
        </w:rPr>
        <w:t xml:space="preserve"> alors que les accrochages et</w:t>
      </w:r>
      <w:r w:rsidR="00807C57">
        <w:rPr>
          <w:rStyle w:val="sb8d990e2"/>
          <w:lang w:val="fr-FR"/>
        </w:rPr>
        <w:t xml:space="preserve"> </w:t>
      </w:r>
      <w:r w:rsidR="00B104E5">
        <w:rPr>
          <w:rStyle w:val="sb8d990e2"/>
          <w:lang w:val="fr-FR"/>
        </w:rPr>
        <w:t xml:space="preserve">les saccages </w:t>
      </w:r>
      <w:r w:rsidR="00B104E5" w:rsidRPr="004A51F8">
        <w:rPr>
          <w:lang w:val="fr-FR"/>
        </w:rPr>
        <w:t xml:space="preserve">qui </w:t>
      </w:r>
      <w:r w:rsidR="00214096">
        <w:rPr>
          <w:lang w:val="fr-FR"/>
        </w:rPr>
        <w:t>s</w:t>
      </w:r>
      <w:r w:rsidR="00603708">
        <w:rPr>
          <w:lang w:val="fr-FR"/>
        </w:rPr>
        <w:t>’</w:t>
      </w:r>
      <w:r w:rsidR="00214096">
        <w:rPr>
          <w:lang w:val="fr-FR"/>
        </w:rPr>
        <w:t>étaient produits</w:t>
      </w:r>
      <w:r w:rsidR="00B104E5" w:rsidRPr="004A51F8">
        <w:rPr>
          <w:lang w:val="fr-FR"/>
        </w:rPr>
        <w:t xml:space="preserve"> </w:t>
      </w:r>
      <w:r w:rsidR="008A2FE5">
        <w:rPr>
          <w:lang w:val="fr-FR"/>
        </w:rPr>
        <w:t xml:space="preserve">au cours du </w:t>
      </w:r>
      <w:r w:rsidR="00B104E5" w:rsidRPr="004A51F8">
        <w:rPr>
          <w:lang w:val="fr-FR"/>
        </w:rPr>
        <w:t>sommet</w:t>
      </w:r>
      <w:r w:rsidR="00B104E5">
        <w:rPr>
          <w:lang w:val="fr-FR"/>
        </w:rPr>
        <w:t xml:space="preserve"> du G8 </w:t>
      </w:r>
      <w:r w:rsidR="0064289D">
        <w:rPr>
          <w:lang w:val="fr-FR"/>
        </w:rPr>
        <w:t xml:space="preserve">avaient pris fin </w:t>
      </w:r>
      <w:r w:rsidR="00214096">
        <w:rPr>
          <w:lang w:val="fr-FR"/>
        </w:rPr>
        <w:t xml:space="preserve">et que rien de </w:t>
      </w:r>
      <w:r w:rsidR="007A0724">
        <w:rPr>
          <w:lang w:val="fr-FR"/>
        </w:rPr>
        <w:t>similaire ne se</w:t>
      </w:r>
      <w:r w:rsidR="008A4082">
        <w:rPr>
          <w:lang w:val="fr-FR"/>
        </w:rPr>
        <w:t xml:space="preserve"> passait</w:t>
      </w:r>
      <w:r w:rsidR="00214096">
        <w:rPr>
          <w:lang w:val="fr-FR"/>
        </w:rPr>
        <w:t xml:space="preserve"> dans </w:t>
      </w:r>
      <w:r w:rsidR="00F011AD">
        <w:rPr>
          <w:lang w:val="fr-FR"/>
        </w:rPr>
        <w:t xml:space="preserve">cette </w:t>
      </w:r>
      <w:r w:rsidR="00214096" w:rsidRPr="004A51F8">
        <w:rPr>
          <w:lang w:val="fr-FR"/>
        </w:rPr>
        <w:t xml:space="preserve">école </w:t>
      </w:r>
      <w:r w:rsidR="007A0724">
        <w:rPr>
          <w:lang w:val="fr-FR"/>
        </w:rPr>
        <w:t>ou ses alentours</w:t>
      </w:r>
      <w:r w:rsidR="00B21BE2">
        <w:rPr>
          <w:lang w:val="fr-FR"/>
        </w:rPr>
        <w:t> ;</w:t>
      </w:r>
    </w:p>
    <w:p w:rsidR="0032468C" w:rsidRDefault="003A0DA9" w:rsidP="00FD6121">
      <w:pPr>
        <w:pStyle w:val="ECHRPara"/>
        <w:rPr>
          <w:lang w:val="fr-FR"/>
        </w:rPr>
      </w:pPr>
      <w:r>
        <w:rPr>
          <w:rStyle w:val="sb8d990e2"/>
          <w:lang w:val="fr-FR"/>
        </w:rPr>
        <w:t>–  </w:t>
      </w:r>
      <w:r w:rsidR="00B21BE2">
        <w:rPr>
          <w:lang w:val="fr-FR"/>
        </w:rPr>
        <w:t>m</w:t>
      </w:r>
      <w:r w:rsidR="00214096" w:rsidRPr="004A51F8">
        <w:rPr>
          <w:lang w:val="fr-FR"/>
        </w:rPr>
        <w:t xml:space="preserve">ême à supposer que des </w:t>
      </w:r>
      <w:r w:rsidR="00214096">
        <w:rPr>
          <w:lang w:val="fr-FR"/>
        </w:rPr>
        <w:t>casseurs</w:t>
      </w:r>
      <w:r w:rsidR="00214096" w:rsidRPr="004A51F8">
        <w:rPr>
          <w:i/>
          <w:lang w:val="fr-FR"/>
        </w:rPr>
        <w:t xml:space="preserve"> </w:t>
      </w:r>
      <w:r w:rsidR="00A16CA6">
        <w:rPr>
          <w:lang w:val="fr-FR"/>
        </w:rPr>
        <w:t>avaient trouvé refuge</w:t>
      </w:r>
      <w:r w:rsidR="00A16CA6" w:rsidRPr="004A51F8">
        <w:rPr>
          <w:lang w:val="fr-FR"/>
        </w:rPr>
        <w:t xml:space="preserve"> </w:t>
      </w:r>
      <w:r w:rsidR="00214096" w:rsidRPr="004A51F8">
        <w:rPr>
          <w:lang w:val="fr-FR"/>
        </w:rPr>
        <w:t>dans l</w:t>
      </w:r>
      <w:r w:rsidR="00603708">
        <w:rPr>
          <w:lang w:val="fr-FR"/>
        </w:rPr>
        <w:t>’</w:t>
      </w:r>
      <w:r w:rsidR="00214096" w:rsidRPr="004A51F8">
        <w:rPr>
          <w:lang w:val="fr-FR"/>
        </w:rPr>
        <w:t>école,</w:t>
      </w:r>
      <w:r w:rsidR="00214096">
        <w:rPr>
          <w:lang w:val="fr-FR"/>
        </w:rPr>
        <w:t xml:space="preserve"> </w:t>
      </w:r>
      <w:r w:rsidR="00B22126">
        <w:rPr>
          <w:lang w:val="fr-FR"/>
        </w:rPr>
        <w:t xml:space="preserve">il ne ressort guère du dossier que </w:t>
      </w:r>
      <w:r w:rsidR="00A16CA6">
        <w:rPr>
          <w:lang w:val="fr-FR"/>
        </w:rPr>
        <w:t>s</w:t>
      </w:r>
      <w:r w:rsidR="00B22126">
        <w:rPr>
          <w:lang w:val="fr-FR"/>
        </w:rPr>
        <w:t xml:space="preserve">es occupants </w:t>
      </w:r>
      <w:r w:rsidR="00A16CA6">
        <w:rPr>
          <w:lang w:val="fr-FR"/>
        </w:rPr>
        <w:t>avaient eu,</w:t>
      </w:r>
      <w:r w:rsidR="00A16CA6" w:rsidRPr="00A16CA6">
        <w:rPr>
          <w:lang w:val="fr-FR"/>
        </w:rPr>
        <w:t xml:space="preserve"> </w:t>
      </w:r>
      <w:r w:rsidR="00A16CA6">
        <w:rPr>
          <w:lang w:val="fr-FR"/>
        </w:rPr>
        <w:t>lors de l</w:t>
      </w:r>
      <w:r w:rsidR="00603708">
        <w:rPr>
          <w:lang w:val="fr-FR"/>
        </w:rPr>
        <w:t>’</w:t>
      </w:r>
      <w:r w:rsidR="00A16CA6">
        <w:rPr>
          <w:lang w:val="fr-FR"/>
        </w:rPr>
        <w:t>arrivée de la police, un comportement susceptible de mettre quiconque en danger</w:t>
      </w:r>
      <w:r w:rsidR="00B22126">
        <w:rPr>
          <w:lang w:val="fr-FR"/>
        </w:rPr>
        <w:t xml:space="preserve"> </w:t>
      </w:r>
      <w:r w:rsidR="00FD6121">
        <w:rPr>
          <w:lang w:val="fr-FR"/>
        </w:rPr>
        <w:t xml:space="preserve">et, notamment, </w:t>
      </w:r>
      <w:r w:rsidR="00B22126">
        <w:rPr>
          <w:lang w:val="fr-FR"/>
        </w:rPr>
        <w:t xml:space="preserve">les </w:t>
      </w:r>
      <w:r w:rsidR="00A16CA6">
        <w:rPr>
          <w:lang w:val="fr-FR"/>
        </w:rPr>
        <w:t xml:space="preserve">policiers </w:t>
      </w:r>
      <w:r w:rsidR="00B22126">
        <w:rPr>
          <w:lang w:val="fr-FR"/>
        </w:rPr>
        <w:t>qui</w:t>
      </w:r>
      <w:r w:rsidR="008A4082">
        <w:rPr>
          <w:lang w:val="fr-FR"/>
        </w:rPr>
        <w:t xml:space="preserve">, en grand nombre et bien armés </w:t>
      </w:r>
      <w:r w:rsidR="008A4082" w:rsidRPr="00D32C56">
        <w:rPr>
          <w:lang w:val="fr-FR"/>
        </w:rPr>
        <w:t>(</w:t>
      </w:r>
      <w:r w:rsidR="00B53106" w:rsidRPr="00AC0DAF">
        <w:rPr>
          <w:lang w:val="fr-FR"/>
        </w:rPr>
        <w:t>paragraphe 30</w:t>
      </w:r>
      <w:r w:rsidR="008A4082" w:rsidRPr="00AC0DAF">
        <w:rPr>
          <w:lang w:val="fr-FR"/>
        </w:rPr>
        <w:t xml:space="preserve"> ci-dessus</w:t>
      </w:r>
      <w:r w:rsidR="008A4082">
        <w:rPr>
          <w:lang w:val="fr-FR"/>
        </w:rPr>
        <w:t>)</w:t>
      </w:r>
      <w:r w:rsidR="00FD6121">
        <w:rPr>
          <w:lang w:val="fr-FR"/>
        </w:rPr>
        <w:t>,</w:t>
      </w:r>
      <w:r w:rsidR="008A4082">
        <w:rPr>
          <w:lang w:val="fr-FR"/>
        </w:rPr>
        <w:t xml:space="preserve"> particip</w:t>
      </w:r>
      <w:r w:rsidR="0064289D">
        <w:rPr>
          <w:lang w:val="fr-FR"/>
        </w:rPr>
        <w:t>aient</w:t>
      </w:r>
      <w:r w:rsidR="00B22126">
        <w:rPr>
          <w:lang w:val="fr-FR"/>
        </w:rPr>
        <w:t xml:space="preserve"> à </w:t>
      </w:r>
      <w:r w:rsidR="008A4082">
        <w:rPr>
          <w:lang w:val="fr-FR"/>
        </w:rPr>
        <w:t xml:space="preserve">cette </w:t>
      </w:r>
      <w:r w:rsidR="00B22126">
        <w:rPr>
          <w:lang w:val="fr-FR"/>
        </w:rPr>
        <w:t>opération</w:t>
      </w:r>
      <w:r w:rsidR="0064289D">
        <w:rPr>
          <w:lang w:val="fr-FR"/>
        </w:rPr>
        <w:t> :</w:t>
      </w:r>
      <w:r w:rsidR="00B22126">
        <w:rPr>
          <w:lang w:val="fr-FR"/>
        </w:rPr>
        <w:t xml:space="preserve"> </w:t>
      </w:r>
      <w:r w:rsidR="001D7566">
        <w:rPr>
          <w:lang w:val="fr-FR"/>
        </w:rPr>
        <w:t xml:space="preserve">certains des </w:t>
      </w:r>
      <w:r w:rsidR="00B22126">
        <w:rPr>
          <w:lang w:val="fr-FR"/>
        </w:rPr>
        <w:t>occupants</w:t>
      </w:r>
      <w:r w:rsidR="008A2FE5">
        <w:rPr>
          <w:lang w:val="fr-FR"/>
        </w:rPr>
        <w:t>, il faut le r</w:t>
      </w:r>
      <w:r w:rsidR="0064289D">
        <w:rPr>
          <w:lang w:val="fr-FR"/>
        </w:rPr>
        <w:t>appeler</w:t>
      </w:r>
      <w:r w:rsidR="008A2FE5">
        <w:rPr>
          <w:lang w:val="fr-FR"/>
        </w:rPr>
        <w:t>,</w:t>
      </w:r>
      <w:r w:rsidR="008A4082">
        <w:rPr>
          <w:lang w:val="fr-FR"/>
        </w:rPr>
        <w:t xml:space="preserve"> </w:t>
      </w:r>
      <w:r w:rsidR="00B22126">
        <w:rPr>
          <w:lang w:val="fr-FR"/>
        </w:rPr>
        <w:t>s</w:t>
      </w:r>
      <w:r w:rsidR="00603708">
        <w:rPr>
          <w:lang w:val="fr-FR"/>
        </w:rPr>
        <w:t>’</w:t>
      </w:r>
      <w:r w:rsidR="00B22126">
        <w:rPr>
          <w:lang w:val="fr-FR"/>
        </w:rPr>
        <w:t>étaient</w:t>
      </w:r>
      <w:r w:rsidR="00B22126" w:rsidRPr="004A51F8">
        <w:rPr>
          <w:lang w:val="fr-FR"/>
        </w:rPr>
        <w:t xml:space="preserve"> </w:t>
      </w:r>
      <w:r w:rsidR="0064289D">
        <w:rPr>
          <w:lang w:val="fr-FR"/>
        </w:rPr>
        <w:t>bornés</w:t>
      </w:r>
      <w:r w:rsidR="0064289D" w:rsidRPr="004A51F8">
        <w:rPr>
          <w:lang w:val="fr-FR"/>
        </w:rPr>
        <w:t xml:space="preserve"> </w:t>
      </w:r>
      <w:r w:rsidR="00B22126" w:rsidRPr="004A51F8">
        <w:rPr>
          <w:lang w:val="fr-FR"/>
        </w:rPr>
        <w:t xml:space="preserve">à fermer la grille et les </w:t>
      </w:r>
      <w:r w:rsidR="00F011AD">
        <w:rPr>
          <w:lang w:val="fr-FR"/>
        </w:rPr>
        <w:t>portes d</w:t>
      </w:r>
      <w:r w:rsidR="00603708">
        <w:rPr>
          <w:lang w:val="fr-FR"/>
        </w:rPr>
        <w:t>’</w:t>
      </w:r>
      <w:r w:rsidR="00B22126" w:rsidRPr="004A51F8">
        <w:rPr>
          <w:lang w:val="fr-FR"/>
        </w:rPr>
        <w:t>entrée de l</w:t>
      </w:r>
      <w:r w:rsidR="00603708">
        <w:rPr>
          <w:lang w:val="fr-FR"/>
        </w:rPr>
        <w:t>’</w:t>
      </w:r>
      <w:r w:rsidR="00B22126" w:rsidRPr="004A51F8">
        <w:rPr>
          <w:lang w:val="fr-FR"/>
        </w:rPr>
        <w:t>école</w:t>
      </w:r>
      <w:r w:rsidR="001D7566">
        <w:rPr>
          <w:lang w:val="fr-FR"/>
        </w:rPr>
        <w:t>, comme ils en avaient le droit,</w:t>
      </w:r>
      <w:r w:rsidR="00B22126">
        <w:rPr>
          <w:lang w:val="fr-FR"/>
        </w:rPr>
        <w:t xml:space="preserve"> </w:t>
      </w:r>
      <w:r w:rsidR="001D7566">
        <w:rPr>
          <w:lang w:val="fr-FR"/>
        </w:rPr>
        <w:t>et il n</w:t>
      </w:r>
      <w:r w:rsidR="00603708">
        <w:rPr>
          <w:lang w:val="fr-FR"/>
        </w:rPr>
        <w:t>’</w:t>
      </w:r>
      <w:r w:rsidR="001D7566">
        <w:rPr>
          <w:lang w:val="fr-FR"/>
        </w:rPr>
        <w:t xml:space="preserve">y avait pas eu de véritables </w:t>
      </w:r>
      <w:r w:rsidR="00B22126" w:rsidRPr="004A51F8">
        <w:rPr>
          <w:lang w:val="fr-FR"/>
        </w:rPr>
        <w:t>actes de résistance</w:t>
      </w:r>
      <w:r w:rsidR="001D7566">
        <w:rPr>
          <w:lang w:val="fr-FR"/>
        </w:rPr>
        <w:t xml:space="preserve"> </w:t>
      </w:r>
      <w:r w:rsidR="008A4082">
        <w:rPr>
          <w:lang w:val="fr-FR"/>
        </w:rPr>
        <w:t>(</w:t>
      </w:r>
      <w:r w:rsidR="008A4082" w:rsidRPr="00AC0DAF">
        <w:rPr>
          <w:lang w:val="fr-FR"/>
        </w:rPr>
        <w:t xml:space="preserve">paragraphes </w:t>
      </w:r>
      <w:r w:rsidR="00B53106" w:rsidRPr="00AC0DAF">
        <w:rPr>
          <w:lang w:val="fr-FR"/>
        </w:rPr>
        <w:t>71 et 80 ci-dessus</w:t>
      </w:r>
      <w:r w:rsidR="00B21BE2">
        <w:rPr>
          <w:lang w:val="fr-FR"/>
        </w:rPr>
        <w:t>) ;</w:t>
      </w:r>
    </w:p>
    <w:p w:rsidR="00FD6121" w:rsidRDefault="003A0DA9" w:rsidP="00FD6121">
      <w:pPr>
        <w:pStyle w:val="ECHRPara"/>
        <w:rPr>
          <w:lang w:val="fr-FR"/>
        </w:rPr>
      </w:pPr>
      <w:r w:rsidRPr="00600F25">
        <w:rPr>
          <w:rStyle w:val="sb8d990e2"/>
          <w:lang w:val="fr-FR"/>
        </w:rPr>
        <w:t>–  </w:t>
      </w:r>
      <w:r w:rsidR="00B21BE2" w:rsidRPr="00600F25">
        <w:rPr>
          <w:rStyle w:val="sb8d990e2"/>
          <w:lang w:val="fr-FR"/>
        </w:rPr>
        <w:t>i</w:t>
      </w:r>
      <w:r w:rsidR="00FD6121" w:rsidRPr="00600F25">
        <w:rPr>
          <w:rStyle w:val="sb8d990e2"/>
          <w:lang w:val="fr-FR"/>
        </w:rPr>
        <w:t xml:space="preserve">l ressort du dossier que les autorités ont eu </w:t>
      </w:r>
      <w:r w:rsidR="0064289D" w:rsidRPr="00600F25">
        <w:rPr>
          <w:rStyle w:val="sb8d990e2"/>
          <w:lang w:val="fr-FR"/>
        </w:rPr>
        <w:t>suffisamment de</w:t>
      </w:r>
      <w:r w:rsidR="00FD6121" w:rsidRPr="00600F25">
        <w:rPr>
          <w:rStyle w:val="sb8d990e2"/>
          <w:lang w:val="fr-FR"/>
        </w:rPr>
        <w:t xml:space="preserve"> temps</w:t>
      </w:r>
      <w:r w:rsidR="00FD6121" w:rsidRPr="00FD6121">
        <w:rPr>
          <w:rStyle w:val="sb8d990e2"/>
          <w:lang w:val="fr-FR"/>
        </w:rPr>
        <w:t xml:space="preserve"> pour </w:t>
      </w:r>
      <w:r w:rsidR="0064289D">
        <w:rPr>
          <w:rStyle w:val="sb8d990e2"/>
          <w:lang w:val="fr-FR"/>
        </w:rPr>
        <w:t xml:space="preserve">bien </w:t>
      </w:r>
      <w:r w:rsidR="00FD6121" w:rsidRPr="00FD6121">
        <w:rPr>
          <w:rStyle w:val="sb8d990e2"/>
          <w:lang w:val="fr-FR"/>
        </w:rPr>
        <w:t>organiser l</w:t>
      </w:r>
      <w:r w:rsidR="00603708">
        <w:rPr>
          <w:rStyle w:val="sb8d990e2"/>
          <w:lang w:val="fr-FR"/>
        </w:rPr>
        <w:t>’</w:t>
      </w:r>
      <w:r w:rsidR="00FD6121" w:rsidRPr="00FD6121">
        <w:rPr>
          <w:rStyle w:val="sb8d990e2"/>
          <w:lang w:val="fr-FR"/>
        </w:rPr>
        <w:t>opération</w:t>
      </w:r>
      <w:r w:rsidR="00FD6121">
        <w:rPr>
          <w:rStyle w:val="sb8d990e2"/>
          <w:lang w:val="fr-FR"/>
        </w:rPr>
        <w:t xml:space="preserve"> de</w:t>
      </w:r>
      <w:r w:rsidR="0064289D">
        <w:rPr>
          <w:rStyle w:val="sb8d990e2"/>
          <w:lang w:val="fr-FR"/>
        </w:rPr>
        <w:t xml:space="preserve"> </w:t>
      </w:r>
      <w:r w:rsidR="00FD6121">
        <w:rPr>
          <w:rStyle w:val="sb8d990e2"/>
          <w:lang w:val="fr-FR"/>
        </w:rPr>
        <w:t>« perquisition »</w:t>
      </w:r>
      <w:r w:rsidR="0064289D">
        <w:rPr>
          <w:rStyle w:val="sb8d990e2"/>
          <w:lang w:val="fr-FR"/>
        </w:rPr>
        <w:t xml:space="preserve"> </w:t>
      </w:r>
      <w:r w:rsidR="00B21BE2">
        <w:rPr>
          <w:rStyle w:val="sb8d990e2"/>
          <w:lang w:val="fr-FR"/>
        </w:rPr>
        <w:t>(</w:t>
      </w:r>
      <w:r w:rsidR="00B21BE2" w:rsidRPr="00AC0DAF">
        <w:rPr>
          <w:rStyle w:val="sb8d990e2"/>
          <w:lang w:val="fr-FR"/>
        </w:rPr>
        <w:t xml:space="preserve">paragraphes </w:t>
      </w:r>
      <w:r w:rsidR="00B53106" w:rsidRPr="00AC0DAF">
        <w:rPr>
          <w:rStyle w:val="sb8d990e2"/>
          <w:lang w:val="fr-FR"/>
        </w:rPr>
        <w:t>27-30</w:t>
      </w:r>
      <w:r w:rsidR="00B21BE2" w:rsidRPr="00AC0DAF">
        <w:rPr>
          <w:rStyle w:val="sb8d990e2"/>
          <w:lang w:val="fr-FR"/>
        </w:rPr>
        <w:t xml:space="preserve"> ci-dessus</w:t>
      </w:r>
      <w:r w:rsidR="00B21BE2">
        <w:rPr>
          <w:rStyle w:val="sb8d990e2"/>
          <w:lang w:val="fr-FR"/>
        </w:rPr>
        <w:t>)</w:t>
      </w:r>
      <w:r w:rsidR="0064289D">
        <w:rPr>
          <w:rStyle w:val="sb8d990e2"/>
          <w:lang w:val="fr-FR"/>
        </w:rPr>
        <w:t> ;</w:t>
      </w:r>
      <w:r w:rsidR="00B21BE2">
        <w:rPr>
          <w:rStyle w:val="sb8d990e2"/>
          <w:lang w:val="fr-FR"/>
        </w:rPr>
        <w:t xml:space="preserve"> en revanche, il ne ressort pas du dossier</w:t>
      </w:r>
      <w:r w:rsidR="00FD6121">
        <w:rPr>
          <w:rStyle w:val="sb8d990e2"/>
          <w:lang w:val="fr-FR"/>
        </w:rPr>
        <w:t xml:space="preserve"> qu</w:t>
      </w:r>
      <w:r w:rsidR="00B21BE2">
        <w:rPr>
          <w:rStyle w:val="sb8d990e2"/>
          <w:lang w:val="fr-FR"/>
        </w:rPr>
        <w:t>e les policiers</w:t>
      </w:r>
      <w:r w:rsidR="00FD6121">
        <w:rPr>
          <w:rStyle w:val="sb8d990e2"/>
          <w:lang w:val="fr-FR"/>
        </w:rPr>
        <w:t xml:space="preserve"> </w:t>
      </w:r>
      <w:r w:rsidR="00FD6121" w:rsidRPr="00FD6121">
        <w:rPr>
          <w:rStyle w:val="sb8d990e2"/>
          <w:lang w:val="fr-FR"/>
        </w:rPr>
        <w:t>ont dû réagir dans l</w:t>
      </w:r>
      <w:r w:rsidR="00603708">
        <w:rPr>
          <w:rStyle w:val="sb8d990e2"/>
          <w:lang w:val="fr-FR"/>
        </w:rPr>
        <w:t>’</w:t>
      </w:r>
      <w:r w:rsidR="00FD6121" w:rsidRPr="00FD6121">
        <w:rPr>
          <w:rStyle w:val="sb8d990e2"/>
          <w:lang w:val="fr-FR"/>
        </w:rPr>
        <w:t>urgence</w:t>
      </w:r>
      <w:r w:rsidR="00FD6121">
        <w:rPr>
          <w:rStyle w:val="sb8d990e2"/>
          <w:lang w:val="fr-FR"/>
        </w:rPr>
        <w:t xml:space="preserve"> </w:t>
      </w:r>
      <w:r w:rsidR="00FD6121" w:rsidRPr="00FD6121">
        <w:rPr>
          <w:rStyle w:val="sb8d990e2"/>
          <w:lang w:val="fr-FR"/>
        </w:rPr>
        <w:t xml:space="preserve">à des développements imprévus </w:t>
      </w:r>
      <w:r w:rsidR="0064289D">
        <w:rPr>
          <w:rStyle w:val="sb8d990e2"/>
          <w:lang w:val="fr-FR"/>
        </w:rPr>
        <w:t xml:space="preserve">qui seraient </w:t>
      </w:r>
      <w:r w:rsidR="00FD6121">
        <w:rPr>
          <w:rStyle w:val="sb8d990e2"/>
          <w:lang w:val="fr-FR"/>
        </w:rPr>
        <w:t xml:space="preserve">survenus </w:t>
      </w:r>
      <w:r w:rsidR="00FD6121" w:rsidRPr="00FD6121">
        <w:rPr>
          <w:rStyle w:val="sb8d990e2"/>
          <w:lang w:val="fr-FR"/>
        </w:rPr>
        <w:t>au cours de cette opération</w:t>
      </w:r>
      <w:r w:rsidR="00B21BE2">
        <w:rPr>
          <w:rStyle w:val="sb8d990e2"/>
          <w:lang w:val="fr-FR"/>
        </w:rPr>
        <w:t xml:space="preserve"> (</w:t>
      </w:r>
      <w:r w:rsidR="0064289D">
        <w:rPr>
          <w:rStyle w:val="sb8d990e2"/>
          <w:lang w:val="fr-FR"/>
        </w:rPr>
        <w:t xml:space="preserve">voir, </w:t>
      </w:r>
      <w:r w:rsidR="00B21BE2" w:rsidRPr="00AC0DAF">
        <w:rPr>
          <w:rStyle w:val="sb8d990e2"/>
          <w:i/>
          <w:lang w:val="fr-FR"/>
        </w:rPr>
        <w:t>a contrario</w:t>
      </w:r>
      <w:r w:rsidR="00F011AD" w:rsidRPr="00AC0DAF">
        <w:rPr>
          <w:rStyle w:val="sb8d990e2"/>
          <w:lang w:val="fr-FR"/>
        </w:rPr>
        <w:t>,</w:t>
      </w:r>
      <w:r w:rsidR="00B21BE2" w:rsidRPr="00AC0DAF">
        <w:rPr>
          <w:rStyle w:val="sb8d990e2"/>
          <w:i/>
          <w:lang w:val="fr-FR"/>
        </w:rPr>
        <w:t xml:space="preserve"> Tzekov</w:t>
      </w:r>
      <w:r w:rsidR="00B21BE2" w:rsidRPr="00AC0DAF">
        <w:rPr>
          <w:rStyle w:val="sb8d990e2"/>
          <w:lang w:val="fr-FR"/>
        </w:rPr>
        <w:t>, précité, §§ 61-62</w:t>
      </w:r>
      <w:r w:rsidR="00B21BE2">
        <w:rPr>
          <w:rStyle w:val="sb8d990e2"/>
          <w:lang w:val="fr-FR"/>
        </w:rPr>
        <w:t>) ;</w:t>
      </w:r>
    </w:p>
    <w:p w:rsidR="0032468C" w:rsidRDefault="003A0DA9" w:rsidP="00B21BE2">
      <w:pPr>
        <w:pStyle w:val="ECHRPara"/>
        <w:rPr>
          <w:lang w:val="fr-FR"/>
        </w:rPr>
      </w:pPr>
      <w:r>
        <w:rPr>
          <w:rStyle w:val="sb8d990e2"/>
          <w:lang w:val="fr-FR"/>
        </w:rPr>
        <w:t>–  </w:t>
      </w:r>
      <w:r w:rsidR="00B21BE2">
        <w:rPr>
          <w:lang w:val="fr-FR"/>
        </w:rPr>
        <w:t>la</w:t>
      </w:r>
      <w:r w:rsidR="00BC5B46" w:rsidRPr="004A51F8">
        <w:rPr>
          <w:lang w:val="fr-FR"/>
        </w:rPr>
        <w:t> perquisition d</w:t>
      </w:r>
      <w:r w:rsidR="00603708">
        <w:rPr>
          <w:lang w:val="fr-FR"/>
        </w:rPr>
        <w:t>’</w:t>
      </w:r>
      <w:r w:rsidR="00BC5B46" w:rsidRPr="004A51F8">
        <w:rPr>
          <w:lang w:val="fr-FR"/>
        </w:rPr>
        <w:t>une autre école et l</w:t>
      </w:r>
      <w:r w:rsidR="00603708">
        <w:rPr>
          <w:lang w:val="fr-FR"/>
        </w:rPr>
        <w:t>’</w:t>
      </w:r>
      <w:r w:rsidR="00BC5B46" w:rsidRPr="004A51F8">
        <w:rPr>
          <w:lang w:val="fr-FR"/>
        </w:rPr>
        <w:t>arrestation d</w:t>
      </w:r>
      <w:r w:rsidR="00603708">
        <w:rPr>
          <w:lang w:val="fr-FR"/>
        </w:rPr>
        <w:t>’</w:t>
      </w:r>
      <w:r w:rsidR="00BC5B46" w:rsidRPr="004A51F8">
        <w:rPr>
          <w:lang w:val="fr-FR"/>
        </w:rPr>
        <w:t>une vingtaine de ses occupants</w:t>
      </w:r>
      <w:r w:rsidR="000217BC">
        <w:rPr>
          <w:lang w:val="fr-FR"/>
        </w:rPr>
        <w:t>, même si dépourvues de toute utilité sur le plan judiciaire,</w:t>
      </w:r>
      <w:r w:rsidR="00BC5B46" w:rsidRPr="004A51F8">
        <w:rPr>
          <w:lang w:val="fr-FR"/>
        </w:rPr>
        <w:t xml:space="preserve"> avaient eu lieu </w:t>
      </w:r>
      <w:r w:rsidR="007847E8">
        <w:rPr>
          <w:lang w:val="fr-FR"/>
        </w:rPr>
        <w:t>dans l</w:t>
      </w:r>
      <w:r w:rsidR="00603708">
        <w:rPr>
          <w:lang w:val="fr-FR"/>
        </w:rPr>
        <w:t>’</w:t>
      </w:r>
      <w:r w:rsidR="007847E8">
        <w:rPr>
          <w:lang w:val="fr-FR"/>
        </w:rPr>
        <w:t>après-midi du 21 juillet</w:t>
      </w:r>
      <w:r w:rsidR="00BC5B46" w:rsidRPr="004A51F8">
        <w:rPr>
          <w:lang w:val="fr-FR"/>
        </w:rPr>
        <w:t xml:space="preserve"> </w:t>
      </w:r>
      <w:r w:rsidR="00B21BE2">
        <w:rPr>
          <w:lang w:val="fr-FR"/>
        </w:rPr>
        <w:t xml:space="preserve">apparemment </w:t>
      </w:r>
      <w:r w:rsidR="00BC5B46" w:rsidRPr="004A51F8">
        <w:rPr>
          <w:lang w:val="fr-FR"/>
        </w:rPr>
        <w:t>sans aucune violence de la part de la police (</w:t>
      </w:r>
      <w:r w:rsidR="007847E8" w:rsidRPr="00AC0DAF">
        <w:rPr>
          <w:lang w:val="fr-FR"/>
        </w:rPr>
        <w:t xml:space="preserve">paragraphe </w:t>
      </w:r>
      <w:r w:rsidR="00B53106" w:rsidRPr="00AC0DAF">
        <w:rPr>
          <w:lang w:val="fr-FR"/>
        </w:rPr>
        <w:t>22</w:t>
      </w:r>
      <w:r w:rsidR="00BC5B46" w:rsidRPr="00AC0DAF">
        <w:rPr>
          <w:lang w:val="fr-FR"/>
        </w:rPr>
        <w:t xml:space="preserve"> </w:t>
      </w:r>
      <w:r w:rsidR="007847E8" w:rsidRPr="00AC0DAF">
        <w:rPr>
          <w:lang w:val="fr-FR"/>
        </w:rPr>
        <w:t>ci-dessus</w:t>
      </w:r>
      <w:r w:rsidR="00BC5B46" w:rsidRPr="004A51F8">
        <w:rPr>
          <w:lang w:val="fr-FR"/>
        </w:rPr>
        <w:t>).</w:t>
      </w:r>
    </w:p>
    <w:p w:rsidR="0032468C" w:rsidRDefault="00B21BE2" w:rsidP="001D7566">
      <w:pPr>
        <w:pStyle w:val="ECHRPara"/>
        <w:tabs>
          <w:tab w:val="num" w:pos="780"/>
        </w:tabs>
        <w:ind w:firstLine="360"/>
        <w:rPr>
          <w:lang w:val="fr-FR"/>
        </w:rPr>
      </w:pPr>
      <w:r>
        <w:rPr>
          <w:lang w:val="fr-FR"/>
        </w:rPr>
        <w:t>Compte tenu de ce qui précède</w:t>
      </w:r>
      <w:r w:rsidR="000A0611">
        <w:rPr>
          <w:lang w:val="fr-FR"/>
        </w:rPr>
        <w:t xml:space="preserve">, </w:t>
      </w:r>
      <w:r w:rsidR="00600F25">
        <w:rPr>
          <w:lang w:val="fr-FR"/>
        </w:rPr>
        <w:t>les tensions</w:t>
      </w:r>
      <w:r w:rsidR="008A2FE5">
        <w:rPr>
          <w:lang w:val="fr-FR"/>
        </w:rPr>
        <w:t xml:space="preserve"> </w:t>
      </w:r>
      <w:r w:rsidR="00CE5C53">
        <w:rPr>
          <w:lang w:val="fr-FR"/>
        </w:rPr>
        <w:t>qui</w:t>
      </w:r>
      <w:r w:rsidR="00FD6121">
        <w:rPr>
          <w:lang w:val="fr-FR"/>
        </w:rPr>
        <w:t>, comme le prétend le Gouvernement,</w:t>
      </w:r>
      <w:r w:rsidR="00CE5C53">
        <w:rPr>
          <w:lang w:val="fr-FR"/>
        </w:rPr>
        <w:t xml:space="preserve"> aurai</w:t>
      </w:r>
      <w:r w:rsidR="00600F25">
        <w:rPr>
          <w:lang w:val="fr-FR"/>
        </w:rPr>
        <w:t>ent</w:t>
      </w:r>
      <w:r w:rsidR="00CE5C53">
        <w:rPr>
          <w:lang w:val="fr-FR"/>
        </w:rPr>
        <w:t xml:space="preserve"> </w:t>
      </w:r>
      <w:r w:rsidR="00600F25">
        <w:rPr>
          <w:lang w:val="fr-FR"/>
        </w:rPr>
        <w:t xml:space="preserve">présidé à </w:t>
      </w:r>
      <w:r w:rsidR="0064289D">
        <w:rPr>
          <w:lang w:val="fr-FR"/>
        </w:rPr>
        <w:t>l</w:t>
      </w:r>
      <w:r w:rsidR="00603708">
        <w:rPr>
          <w:lang w:val="fr-FR"/>
        </w:rPr>
        <w:t>’</w:t>
      </w:r>
      <w:r w:rsidR="0064289D">
        <w:rPr>
          <w:lang w:val="fr-FR"/>
        </w:rPr>
        <w:t>irruption</w:t>
      </w:r>
      <w:r w:rsidR="001D7566">
        <w:rPr>
          <w:lang w:val="fr-FR"/>
        </w:rPr>
        <w:t xml:space="preserve"> de la police </w:t>
      </w:r>
      <w:r w:rsidR="000A0611">
        <w:rPr>
          <w:lang w:val="fr-FR"/>
        </w:rPr>
        <w:t>d</w:t>
      </w:r>
      <w:r>
        <w:rPr>
          <w:lang w:val="fr-FR"/>
        </w:rPr>
        <w:t>ans l</w:t>
      </w:r>
      <w:r w:rsidR="00603708">
        <w:rPr>
          <w:lang w:val="fr-FR"/>
        </w:rPr>
        <w:t>’</w:t>
      </w:r>
      <w:r>
        <w:rPr>
          <w:lang w:val="fr-FR"/>
        </w:rPr>
        <w:t>école Diaz-Pertini peu</w:t>
      </w:r>
      <w:r w:rsidR="00600F25">
        <w:rPr>
          <w:lang w:val="fr-FR"/>
        </w:rPr>
        <w:t>vent</w:t>
      </w:r>
      <w:r w:rsidR="000A0611">
        <w:rPr>
          <w:lang w:val="fr-FR"/>
        </w:rPr>
        <w:t xml:space="preserve"> </w:t>
      </w:r>
      <w:r w:rsidR="00600F25">
        <w:rPr>
          <w:lang w:val="fr-FR"/>
        </w:rPr>
        <w:t>s</w:t>
      </w:r>
      <w:r w:rsidR="00603708">
        <w:rPr>
          <w:lang w:val="fr-FR"/>
        </w:rPr>
        <w:t>’</w:t>
      </w:r>
      <w:r w:rsidR="000A0611">
        <w:rPr>
          <w:lang w:val="fr-FR"/>
        </w:rPr>
        <w:t>e</w:t>
      </w:r>
      <w:r w:rsidR="000217BC">
        <w:rPr>
          <w:lang w:val="fr-FR"/>
        </w:rPr>
        <w:t>xpliqu</w:t>
      </w:r>
      <w:r w:rsidR="00600F25">
        <w:rPr>
          <w:lang w:val="fr-FR"/>
        </w:rPr>
        <w:t>er</w:t>
      </w:r>
      <w:r w:rsidR="000A0611">
        <w:rPr>
          <w:lang w:val="fr-FR"/>
        </w:rPr>
        <w:t xml:space="preserve"> </w:t>
      </w:r>
      <w:r w:rsidR="001D7566">
        <w:rPr>
          <w:lang w:val="fr-FR"/>
        </w:rPr>
        <w:t>moins par des raisons objectives</w:t>
      </w:r>
      <w:r w:rsidR="000A0611">
        <w:rPr>
          <w:lang w:val="fr-FR"/>
        </w:rPr>
        <w:t xml:space="preserve"> que par la </w:t>
      </w:r>
      <w:r w:rsidR="00600F25">
        <w:rPr>
          <w:lang w:val="fr-FR"/>
        </w:rPr>
        <w:t xml:space="preserve">décision </w:t>
      </w:r>
      <w:r w:rsidR="000A0611">
        <w:rPr>
          <w:lang w:val="fr-FR"/>
        </w:rPr>
        <w:t>de procéder à des arrestations médiatisées</w:t>
      </w:r>
      <w:r w:rsidR="007847E8">
        <w:rPr>
          <w:lang w:val="fr-FR"/>
        </w:rPr>
        <w:t xml:space="preserve"> et par l</w:t>
      </w:r>
      <w:r w:rsidR="00603708">
        <w:rPr>
          <w:lang w:val="fr-FR"/>
        </w:rPr>
        <w:t>’</w:t>
      </w:r>
      <w:r w:rsidR="007847E8">
        <w:rPr>
          <w:lang w:val="fr-FR"/>
        </w:rPr>
        <w:t>adoption de modalités opérationnelles</w:t>
      </w:r>
      <w:r w:rsidR="000217BC">
        <w:rPr>
          <w:lang w:val="fr-FR"/>
        </w:rPr>
        <w:t xml:space="preserve"> </w:t>
      </w:r>
      <w:r w:rsidR="00600F25">
        <w:rPr>
          <w:lang w:val="fr-FR"/>
        </w:rPr>
        <w:t>non conformes aux exigences</w:t>
      </w:r>
      <w:r w:rsidR="0064289D">
        <w:rPr>
          <w:lang w:val="fr-FR"/>
        </w:rPr>
        <w:t xml:space="preserve"> de</w:t>
      </w:r>
      <w:r w:rsidR="007847E8">
        <w:rPr>
          <w:lang w:val="fr-FR"/>
        </w:rPr>
        <w:t xml:space="preserve"> la</w:t>
      </w:r>
      <w:r w:rsidR="000A0611">
        <w:rPr>
          <w:lang w:val="fr-FR"/>
        </w:rPr>
        <w:t xml:space="preserve"> protection des valeurs </w:t>
      </w:r>
      <w:r w:rsidR="00600F25">
        <w:rPr>
          <w:lang w:val="fr-FR"/>
        </w:rPr>
        <w:t xml:space="preserve">qui </w:t>
      </w:r>
      <w:r w:rsidR="000A0611">
        <w:rPr>
          <w:lang w:val="fr-FR"/>
        </w:rPr>
        <w:t>découl</w:t>
      </w:r>
      <w:r w:rsidR="00600F25">
        <w:rPr>
          <w:lang w:val="fr-FR"/>
        </w:rPr>
        <w:t>ent</w:t>
      </w:r>
      <w:r w:rsidR="000A0611">
        <w:rPr>
          <w:lang w:val="fr-FR"/>
        </w:rPr>
        <w:t xml:space="preserve"> de l</w:t>
      </w:r>
      <w:r w:rsidR="00603708">
        <w:rPr>
          <w:lang w:val="fr-FR"/>
        </w:rPr>
        <w:t>’</w:t>
      </w:r>
      <w:r w:rsidR="000A0611">
        <w:rPr>
          <w:lang w:val="fr-FR"/>
        </w:rPr>
        <w:t>article 3</w:t>
      </w:r>
      <w:r w:rsidR="00B53106">
        <w:rPr>
          <w:lang w:val="fr-FR"/>
        </w:rPr>
        <w:t xml:space="preserve"> de la Convention</w:t>
      </w:r>
      <w:r w:rsidR="00C242DB">
        <w:rPr>
          <w:lang w:val="fr-FR"/>
        </w:rPr>
        <w:t xml:space="preserve"> ainsi que </w:t>
      </w:r>
      <w:r w:rsidR="00600F25">
        <w:rPr>
          <w:lang w:val="fr-FR"/>
        </w:rPr>
        <w:t xml:space="preserve">du </w:t>
      </w:r>
      <w:r w:rsidR="00C242DB">
        <w:rPr>
          <w:lang w:val="fr-FR"/>
        </w:rPr>
        <w:t>droit international pertinent (</w:t>
      </w:r>
      <w:r w:rsidR="00C242DB" w:rsidRPr="00AC0DAF">
        <w:rPr>
          <w:lang w:val="fr-FR"/>
        </w:rPr>
        <w:t>paragraphe</w:t>
      </w:r>
      <w:r w:rsidR="008B50DF" w:rsidRPr="00AC0DAF">
        <w:rPr>
          <w:lang w:val="fr-FR"/>
        </w:rPr>
        <w:t>s</w:t>
      </w:r>
      <w:r w:rsidR="00C242DB" w:rsidRPr="00AC0DAF">
        <w:rPr>
          <w:lang w:val="fr-FR"/>
        </w:rPr>
        <w:t xml:space="preserve"> </w:t>
      </w:r>
      <w:r w:rsidR="00B53106" w:rsidRPr="00AC0DAF">
        <w:rPr>
          <w:lang w:val="fr-FR"/>
        </w:rPr>
        <w:t>107-111</w:t>
      </w:r>
      <w:r w:rsidR="00C242DB" w:rsidRPr="00AC0DAF">
        <w:rPr>
          <w:lang w:val="fr-FR"/>
        </w:rPr>
        <w:t xml:space="preserve"> ci-dessus</w:t>
      </w:r>
      <w:r w:rsidR="00C242DB">
        <w:rPr>
          <w:lang w:val="fr-FR"/>
        </w:rPr>
        <w:t>)</w:t>
      </w:r>
      <w:r w:rsidR="000A0611">
        <w:rPr>
          <w:lang w:val="fr-FR"/>
        </w:rPr>
        <w:t>.</w:t>
      </w:r>
    </w:p>
    <w:p w:rsidR="002508AF" w:rsidRPr="004A51F8" w:rsidRDefault="00BC5B46" w:rsidP="002508AF">
      <w:pPr>
        <w:pStyle w:val="ECHRPara"/>
        <w:tabs>
          <w:tab w:val="num" w:pos="780"/>
        </w:tabs>
        <w:ind w:firstLine="36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190</w:t>
      </w:r>
      <w:r>
        <w:rPr>
          <w:lang w:val="fr-FR"/>
        </w:rPr>
        <w:fldChar w:fldCharType="end"/>
      </w:r>
      <w:r>
        <w:rPr>
          <w:lang w:val="fr-FR"/>
        </w:rPr>
        <w:t>. </w:t>
      </w:r>
      <w:r w:rsidR="00174EFA">
        <w:rPr>
          <w:rStyle w:val="sb8d990e2"/>
          <w:lang w:val="fr-FR"/>
        </w:rPr>
        <w:t> </w:t>
      </w:r>
      <w:r w:rsidR="004271F3">
        <w:rPr>
          <w:lang w:val="fr-FR"/>
        </w:rPr>
        <w:t xml:space="preserve">En conclusion, </w:t>
      </w:r>
      <w:r w:rsidR="00095852">
        <w:rPr>
          <w:lang w:val="fr-FR"/>
        </w:rPr>
        <w:t>eu égard à l</w:t>
      </w:r>
      <w:r w:rsidR="00603708">
        <w:rPr>
          <w:lang w:val="fr-FR"/>
        </w:rPr>
        <w:t>’</w:t>
      </w:r>
      <w:r w:rsidR="00095852">
        <w:rPr>
          <w:lang w:val="fr-FR"/>
        </w:rPr>
        <w:t xml:space="preserve">ensemble des </w:t>
      </w:r>
      <w:r w:rsidR="00AB1F3A">
        <w:rPr>
          <w:lang w:val="fr-FR"/>
        </w:rPr>
        <w:t>circonstances</w:t>
      </w:r>
      <w:r w:rsidR="00095852">
        <w:rPr>
          <w:lang w:val="fr-FR"/>
        </w:rPr>
        <w:t xml:space="preserve"> exposées ci-dessus</w:t>
      </w:r>
      <w:r w:rsidR="00841760">
        <w:rPr>
          <w:lang w:val="fr-FR"/>
        </w:rPr>
        <w:t xml:space="preserve">, </w:t>
      </w:r>
      <w:r w:rsidR="004271F3">
        <w:rPr>
          <w:lang w:val="fr-FR"/>
        </w:rPr>
        <w:t>la Cour</w:t>
      </w:r>
      <w:r w:rsidR="002508AF" w:rsidRPr="004A51F8">
        <w:rPr>
          <w:lang w:val="fr-FR"/>
        </w:rPr>
        <w:t xml:space="preserve"> estime que les mauvais traitements subis par le requérant </w:t>
      </w:r>
      <w:r w:rsidR="004271F3">
        <w:rPr>
          <w:lang w:val="fr-FR"/>
        </w:rPr>
        <w:t>lors de l</w:t>
      </w:r>
      <w:r w:rsidR="00603708">
        <w:rPr>
          <w:lang w:val="fr-FR"/>
        </w:rPr>
        <w:t>’</w:t>
      </w:r>
      <w:r w:rsidR="004271F3">
        <w:rPr>
          <w:lang w:val="fr-FR"/>
        </w:rPr>
        <w:t>irruption de la police dans l</w:t>
      </w:r>
      <w:r w:rsidR="00603708">
        <w:rPr>
          <w:lang w:val="fr-FR"/>
        </w:rPr>
        <w:t>’</w:t>
      </w:r>
      <w:r w:rsidR="004271F3">
        <w:rPr>
          <w:lang w:val="fr-FR"/>
        </w:rPr>
        <w:t xml:space="preserve">école Diaz-Pertini </w:t>
      </w:r>
      <w:r w:rsidR="00585E7F">
        <w:rPr>
          <w:lang w:val="fr-FR"/>
        </w:rPr>
        <w:t>doiv</w:t>
      </w:r>
      <w:r w:rsidR="00C70422">
        <w:rPr>
          <w:lang w:val="fr-FR"/>
        </w:rPr>
        <w:t>ent être qualifiés</w:t>
      </w:r>
      <w:r w:rsidR="002508AF" w:rsidRPr="004A51F8">
        <w:rPr>
          <w:lang w:val="fr-FR"/>
        </w:rPr>
        <w:t xml:space="preserve"> de « torture » au</w:t>
      </w:r>
      <w:r w:rsidR="0064289D">
        <w:rPr>
          <w:lang w:val="fr-FR"/>
        </w:rPr>
        <w:t xml:space="preserve"> sens</w:t>
      </w:r>
      <w:r w:rsidR="002508AF" w:rsidRPr="004A51F8">
        <w:rPr>
          <w:lang w:val="fr-FR"/>
        </w:rPr>
        <w:t xml:space="preserve"> de l</w:t>
      </w:r>
      <w:r w:rsidR="00603708">
        <w:rPr>
          <w:lang w:val="fr-FR"/>
        </w:rPr>
        <w:t>’</w:t>
      </w:r>
      <w:r w:rsidR="002508AF" w:rsidRPr="004A51F8">
        <w:rPr>
          <w:lang w:val="fr-FR"/>
        </w:rPr>
        <w:t>article 3 de la Convention.</w:t>
      </w:r>
    </w:p>
    <w:p w:rsidR="0032468C" w:rsidRPr="00D774FF" w:rsidRDefault="00E34D0C">
      <w:pPr>
        <w:pStyle w:val="ECHRHeading3"/>
        <w:rPr>
          <w:lang w:val="fr-FR"/>
        </w:rPr>
      </w:pPr>
      <w:r w:rsidRPr="00D774FF">
        <w:rPr>
          <w:lang w:val="fr-FR"/>
        </w:rPr>
        <w:t>2</w:t>
      </w:r>
      <w:r w:rsidR="008C2E39" w:rsidRPr="00D774FF">
        <w:rPr>
          <w:lang w:val="fr-FR"/>
        </w:rPr>
        <w:t>.</w:t>
      </w:r>
      <w:r w:rsidR="003A0DA9" w:rsidRPr="00D774FF">
        <w:rPr>
          <w:lang w:val="fr-FR"/>
        </w:rPr>
        <w:t>  </w:t>
      </w:r>
      <w:r w:rsidR="008C2E39" w:rsidRPr="00D774FF">
        <w:rPr>
          <w:lang w:val="fr-FR"/>
        </w:rPr>
        <w:t xml:space="preserve">Sur le volet </w:t>
      </w:r>
      <w:r w:rsidRPr="00D774FF">
        <w:rPr>
          <w:lang w:val="fr-FR"/>
        </w:rPr>
        <w:t>procédural</w:t>
      </w:r>
      <w:r w:rsidR="008C2E39" w:rsidRPr="00D774FF">
        <w:rPr>
          <w:lang w:val="fr-FR"/>
        </w:rPr>
        <w:t xml:space="preserve"> de l</w:t>
      </w:r>
      <w:r w:rsidR="00603708">
        <w:rPr>
          <w:lang w:val="fr-FR"/>
        </w:rPr>
        <w:t>’</w:t>
      </w:r>
      <w:r w:rsidR="008C2E39" w:rsidRPr="00D774FF">
        <w:rPr>
          <w:lang w:val="fr-FR"/>
        </w:rPr>
        <w:t>article 3</w:t>
      </w:r>
      <w:r w:rsidR="00600F25">
        <w:rPr>
          <w:lang w:val="fr-FR"/>
        </w:rPr>
        <w:t xml:space="preserve"> de la Convention</w:t>
      </w:r>
    </w:p>
    <w:p w:rsidR="008C2E39" w:rsidRPr="00D774FF" w:rsidRDefault="008C2E39">
      <w:pPr>
        <w:pStyle w:val="ECHRHeading4"/>
        <w:rPr>
          <w:lang w:val="fr-FR"/>
        </w:rPr>
      </w:pPr>
      <w:r w:rsidRPr="00D774FF">
        <w:rPr>
          <w:lang w:val="fr-FR"/>
        </w:rPr>
        <w:t>a)</w:t>
      </w:r>
      <w:r w:rsidR="003A0DA9" w:rsidRPr="00D774FF">
        <w:rPr>
          <w:lang w:val="fr-FR"/>
        </w:rPr>
        <w:t>  </w:t>
      </w:r>
      <w:r w:rsidRPr="00D774FF">
        <w:rPr>
          <w:lang w:val="fr-FR"/>
        </w:rPr>
        <w:t>Thèses des parties</w:t>
      </w:r>
    </w:p>
    <w:p w:rsidR="00B53106" w:rsidRPr="00D774FF" w:rsidRDefault="00B53106">
      <w:pPr>
        <w:pStyle w:val="ECHRHeading5"/>
        <w:rPr>
          <w:lang w:val="fr-FR"/>
        </w:rPr>
      </w:pPr>
      <w:r w:rsidRPr="00D774FF">
        <w:rPr>
          <w:lang w:val="fr-FR"/>
        </w:rPr>
        <w:t>i.</w:t>
      </w:r>
      <w:r w:rsidR="003A0DA9" w:rsidRPr="00D774FF">
        <w:rPr>
          <w:lang w:val="fr-FR"/>
        </w:rPr>
        <w:t>  </w:t>
      </w:r>
      <w:r w:rsidRPr="00D774FF">
        <w:rPr>
          <w:lang w:val="fr-FR"/>
        </w:rPr>
        <w:t>Le requérant</w:t>
      </w:r>
    </w:p>
    <w:p w:rsidR="0032468C" w:rsidRPr="00C70422" w:rsidRDefault="00ED2BBC" w:rsidP="000B5793">
      <w:pPr>
        <w:pStyle w:val="JuParaLast"/>
        <w:spacing w:before="0"/>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191</w:t>
      </w:r>
      <w:r>
        <w:rPr>
          <w:lang w:val="fr-FR"/>
        </w:rPr>
        <w:fldChar w:fldCharType="end"/>
      </w:r>
      <w:r>
        <w:rPr>
          <w:lang w:val="fr-FR"/>
        </w:rPr>
        <w:t>.</w:t>
      </w:r>
      <w:r w:rsidR="008109A5">
        <w:rPr>
          <w:lang w:val="fr-FR"/>
        </w:rPr>
        <w:t>  </w:t>
      </w:r>
      <w:r w:rsidR="00334955">
        <w:rPr>
          <w:lang w:val="fr-FR"/>
        </w:rPr>
        <w:t xml:space="preserve">Le requérant </w:t>
      </w:r>
      <w:r w:rsidR="002B04BA">
        <w:rPr>
          <w:lang w:val="fr-FR"/>
        </w:rPr>
        <w:t xml:space="preserve">expose </w:t>
      </w:r>
      <w:r w:rsidR="00334955">
        <w:rPr>
          <w:lang w:val="fr-FR"/>
        </w:rPr>
        <w:t>qu</w:t>
      </w:r>
      <w:r w:rsidR="00603708">
        <w:rPr>
          <w:lang w:val="fr-FR"/>
        </w:rPr>
        <w:t>’</w:t>
      </w:r>
      <w:r w:rsidR="00334955">
        <w:rPr>
          <w:lang w:val="fr-FR"/>
        </w:rPr>
        <w:t>à l</w:t>
      </w:r>
      <w:r w:rsidR="00603708">
        <w:rPr>
          <w:lang w:val="fr-FR"/>
        </w:rPr>
        <w:t>’</w:t>
      </w:r>
      <w:r w:rsidR="00334955">
        <w:rPr>
          <w:lang w:val="fr-FR"/>
        </w:rPr>
        <w:t>issue d</w:t>
      </w:r>
      <w:r w:rsidR="00603708">
        <w:rPr>
          <w:lang w:val="fr-FR"/>
        </w:rPr>
        <w:t>’</w:t>
      </w:r>
      <w:r w:rsidR="00334955">
        <w:rPr>
          <w:lang w:val="fr-FR"/>
        </w:rPr>
        <w:t>une longue procédure pénale les juridictions italiennes ont reconnu la gravité des mauvais traitements dont il a été victime lors de l</w:t>
      </w:r>
      <w:r w:rsidR="00603708">
        <w:rPr>
          <w:lang w:val="fr-FR"/>
        </w:rPr>
        <w:t>’</w:t>
      </w:r>
      <w:r w:rsidR="008109A5">
        <w:rPr>
          <w:lang w:val="fr-FR"/>
        </w:rPr>
        <w:t>irruption</w:t>
      </w:r>
      <w:r w:rsidR="00334955">
        <w:rPr>
          <w:lang w:val="fr-FR"/>
        </w:rPr>
        <w:t xml:space="preserve"> de la police dans l</w:t>
      </w:r>
      <w:r w:rsidR="00603708">
        <w:rPr>
          <w:lang w:val="fr-FR"/>
        </w:rPr>
        <w:t>’</w:t>
      </w:r>
      <w:r w:rsidR="00334955">
        <w:rPr>
          <w:lang w:val="fr-FR"/>
        </w:rPr>
        <w:t>école Diaz-Pertini</w:t>
      </w:r>
      <w:r w:rsidR="008109A5">
        <w:rPr>
          <w:lang w:val="fr-FR"/>
        </w:rPr>
        <w:t>,</w:t>
      </w:r>
      <w:r w:rsidR="00334955">
        <w:rPr>
          <w:lang w:val="fr-FR"/>
        </w:rPr>
        <w:t xml:space="preserve"> mais </w:t>
      </w:r>
      <w:r w:rsidR="008109A5">
        <w:rPr>
          <w:lang w:val="fr-FR"/>
        </w:rPr>
        <w:t>qu</w:t>
      </w:r>
      <w:r w:rsidR="00603708">
        <w:rPr>
          <w:lang w:val="fr-FR"/>
        </w:rPr>
        <w:t>’</w:t>
      </w:r>
      <w:r w:rsidR="008109A5">
        <w:rPr>
          <w:lang w:val="fr-FR"/>
        </w:rPr>
        <w:t xml:space="preserve">elles </w:t>
      </w:r>
      <w:r w:rsidR="00334955">
        <w:rPr>
          <w:lang w:val="fr-FR"/>
        </w:rPr>
        <w:t>n</w:t>
      </w:r>
      <w:r w:rsidR="00603708">
        <w:rPr>
          <w:lang w:val="fr-FR"/>
        </w:rPr>
        <w:t>’</w:t>
      </w:r>
      <w:r w:rsidR="00334955">
        <w:rPr>
          <w:lang w:val="fr-FR"/>
        </w:rPr>
        <w:t>ont pas inflig</w:t>
      </w:r>
      <w:r w:rsidR="008109A5">
        <w:rPr>
          <w:lang w:val="fr-FR"/>
        </w:rPr>
        <w:t>é</w:t>
      </w:r>
      <w:r w:rsidR="00334955">
        <w:rPr>
          <w:lang w:val="fr-FR"/>
        </w:rPr>
        <w:t xml:space="preserve"> des peines adéquates</w:t>
      </w:r>
      <w:r w:rsidR="008B4274">
        <w:rPr>
          <w:lang w:val="fr-FR"/>
        </w:rPr>
        <w:t xml:space="preserve"> aux responsables desdits traitements</w:t>
      </w:r>
      <w:r w:rsidR="00334955">
        <w:rPr>
          <w:lang w:val="fr-FR"/>
        </w:rPr>
        <w:t>.</w:t>
      </w:r>
      <w:r w:rsidR="002B04BA">
        <w:rPr>
          <w:lang w:val="fr-FR"/>
        </w:rPr>
        <w:t xml:space="preserve"> </w:t>
      </w:r>
      <w:r w:rsidR="00BB7C55">
        <w:rPr>
          <w:lang w:val="fr-FR"/>
        </w:rPr>
        <w:t>Après avoir rappelé le</w:t>
      </w:r>
      <w:r w:rsidR="00370159">
        <w:rPr>
          <w:lang w:val="fr-FR"/>
        </w:rPr>
        <w:t>s</w:t>
      </w:r>
      <w:r w:rsidR="00BB7C55">
        <w:rPr>
          <w:lang w:val="fr-FR"/>
        </w:rPr>
        <w:t xml:space="preserve"> chef</w:t>
      </w:r>
      <w:r w:rsidR="00370159">
        <w:rPr>
          <w:lang w:val="fr-FR"/>
        </w:rPr>
        <w:t>s</w:t>
      </w:r>
      <w:r w:rsidR="00BB7C55">
        <w:rPr>
          <w:lang w:val="fr-FR"/>
        </w:rPr>
        <w:t xml:space="preserve"> d</w:t>
      </w:r>
      <w:r w:rsidR="00603708">
        <w:rPr>
          <w:lang w:val="fr-FR"/>
        </w:rPr>
        <w:t>’</w:t>
      </w:r>
      <w:r w:rsidR="00BB7C55">
        <w:rPr>
          <w:lang w:val="fr-FR"/>
        </w:rPr>
        <w:t>accusation retenu</w:t>
      </w:r>
      <w:r w:rsidR="00370159">
        <w:rPr>
          <w:lang w:val="fr-FR"/>
        </w:rPr>
        <w:t>s</w:t>
      </w:r>
      <w:r w:rsidR="00BB7C55">
        <w:rPr>
          <w:lang w:val="fr-FR"/>
        </w:rPr>
        <w:t xml:space="preserve"> </w:t>
      </w:r>
      <w:r w:rsidR="00C70422">
        <w:rPr>
          <w:lang w:val="fr-FR"/>
        </w:rPr>
        <w:t>relativement aux</w:t>
      </w:r>
      <w:r w:rsidR="00BB7C55">
        <w:rPr>
          <w:lang w:val="fr-FR"/>
        </w:rPr>
        <w:t xml:space="preserve"> év</w:t>
      </w:r>
      <w:r w:rsidR="00650C81">
        <w:rPr>
          <w:lang w:val="fr-FR"/>
        </w:rPr>
        <w:t>é</w:t>
      </w:r>
      <w:r w:rsidR="00BB7C55">
        <w:rPr>
          <w:lang w:val="fr-FR"/>
        </w:rPr>
        <w:t>nements de l</w:t>
      </w:r>
      <w:r w:rsidR="00603708">
        <w:rPr>
          <w:lang w:val="fr-FR"/>
        </w:rPr>
        <w:t>’</w:t>
      </w:r>
      <w:r w:rsidR="00BB7C55">
        <w:rPr>
          <w:lang w:val="fr-FR"/>
        </w:rPr>
        <w:t xml:space="preserve">école Diaz-Pertini, </w:t>
      </w:r>
      <w:r w:rsidR="002B04BA">
        <w:rPr>
          <w:lang w:val="fr-FR"/>
        </w:rPr>
        <w:t xml:space="preserve">à savoir, </w:t>
      </w:r>
      <w:r w:rsidR="00BB7C55">
        <w:rPr>
          <w:lang w:val="fr-FR"/>
        </w:rPr>
        <w:t>notamment</w:t>
      </w:r>
      <w:r w:rsidR="002B04BA">
        <w:rPr>
          <w:lang w:val="fr-FR"/>
        </w:rPr>
        <w:t>,</w:t>
      </w:r>
      <w:r w:rsidR="00BB7C55">
        <w:rPr>
          <w:lang w:val="fr-FR"/>
        </w:rPr>
        <w:t xml:space="preserve"> les délits de faux</w:t>
      </w:r>
      <w:r w:rsidR="00370159">
        <w:rPr>
          <w:lang w:val="fr-FR"/>
        </w:rPr>
        <w:t xml:space="preserve"> intellectuel</w:t>
      </w:r>
      <w:r w:rsidR="00BB7C55">
        <w:rPr>
          <w:lang w:val="fr-FR"/>
        </w:rPr>
        <w:t xml:space="preserve">, </w:t>
      </w:r>
      <w:r w:rsidR="002B04BA">
        <w:rPr>
          <w:lang w:val="fr-FR"/>
        </w:rPr>
        <w:t xml:space="preserve">de </w:t>
      </w:r>
      <w:r w:rsidR="00BB7C55">
        <w:rPr>
          <w:lang w:val="fr-FR"/>
        </w:rPr>
        <w:t xml:space="preserve">calomnie, </w:t>
      </w:r>
      <w:r w:rsidR="002B04BA">
        <w:rPr>
          <w:lang w:val="fr-FR"/>
        </w:rPr>
        <w:t>d</w:t>
      </w:r>
      <w:r w:rsidR="00603708">
        <w:rPr>
          <w:lang w:val="fr-FR"/>
        </w:rPr>
        <w:t>’</w:t>
      </w:r>
      <w:r w:rsidR="00BB7C55">
        <w:rPr>
          <w:lang w:val="fr-FR"/>
        </w:rPr>
        <w:t>abus d</w:t>
      </w:r>
      <w:r w:rsidR="00603708">
        <w:rPr>
          <w:lang w:val="fr-FR"/>
        </w:rPr>
        <w:t>’</w:t>
      </w:r>
      <w:r w:rsidR="00BB7C55">
        <w:rPr>
          <w:lang w:val="fr-FR"/>
        </w:rPr>
        <w:t xml:space="preserve">autorité publique et </w:t>
      </w:r>
      <w:r w:rsidR="002B04BA">
        <w:rPr>
          <w:lang w:val="fr-FR"/>
        </w:rPr>
        <w:t xml:space="preserve">de </w:t>
      </w:r>
      <w:r w:rsidR="00BB7C55" w:rsidRPr="00C70422">
        <w:rPr>
          <w:lang w:val="fr-FR"/>
        </w:rPr>
        <w:t xml:space="preserve">lésions corporelles (simple et aggravées), il </w:t>
      </w:r>
      <w:r w:rsidR="002B04BA" w:rsidRPr="00C70422">
        <w:rPr>
          <w:lang w:val="fr-FR"/>
        </w:rPr>
        <w:t xml:space="preserve">indique </w:t>
      </w:r>
      <w:r w:rsidR="00BB7C55" w:rsidRPr="00C70422">
        <w:rPr>
          <w:lang w:val="fr-FR"/>
        </w:rPr>
        <w:t xml:space="preserve">que la plupart de ces délits ont </w:t>
      </w:r>
      <w:r w:rsidR="00600F25" w:rsidRPr="00C70422">
        <w:rPr>
          <w:lang w:val="fr-FR"/>
        </w:rPr>
        <w:t>été frappés de</w:t>
      </w:r>
      <w:r w:rsidR="00BB7C55" w:rsidRPr="00C70422">
        <w:rPr>
          <w:lang w:val="fr-FR"/>
        </w:rPr>
        <w:t xml:space="preserve"> prescription au cours de la procédure pénale.</w:t>
      </w:r>
    </w:p>
    <w:p w:rsidR="004844C5" w:rsidRPr="00C70422" w:rsidRDefault="005805F3" w:rsidP="00334955">
      <w:pPr>
        <w:pStyle w:val="ECHRPara"/>
        <w:ind w:firstLine="426"/>
        <w:rPr>
          <w:lang w:val="fr-FR"/>
        </w:rPr>
      </w:pPr>
      <w:r w:rsidRPr="008E00A0">
        <w:rPr>
          <w:lang w:val="fr-FR"/>
        </w:rPr>
        <w:fldChar w:fldCharType="begin"/>
      </w:r>
      <w:r w:rsidRPr="00C70422">
        <w:rPr>
          <w:lang w:val="fr-FR"/>
        </w:rPr>
        <w:instrText xml:space="preserve"> SEQ level0 \*arabic </w:instrText>
      </w:r>
      <w:r w:rsidRPr="008E00A0">
        <w:rPr>
          <w:lang w:val="fr-FR"/>
        </w:rPr>
        <w:fldChar w:fldCharType="separate"/>
      </w:r>
      <w:r w:rsidR="00B378F9">
        <w:rPr>
          <w:noProof/>
          <w:lang w:val="fr-FR"/>
        </w:rPr>
        <w:t>192</w:t>
      </w:r>
      <w:r w:rsidRPr="008E00A0">
        <w:rPr>
          <w:lang w:val="fr-FR"/>
        </w:rPr>
        <w:fldChar w:fldCharType="end"/>
      </w:r>
      <w:r w:rsidRPr="00C70422">
        <w:rPr>
          <w:lang w:val="fr-FR"/>
        </w:rPr>
        <w:t xml:space="preserve">.  Il </w:t>
      </w:r>
      <w:r w:rsidR="00B938A2" w:rsidRPr="00C70422">
        <w:rPr>
          <w:lang w:val="fr-FR"/>
        </w:rPr>
        <w:t>ajoute</w:t>
      </w:r>
      <w:r w:rsidRPr="00C70422">
        <w:rPr>
          <w:lang w:val="fr-FR"/>
        </w:rPr>
        <w:t xml:space="preserve"> que </w:t>
      </w:r>
      <w:r w:rsidR="004844C5" w:rsidRPr="00C70422">
        <w:rPr>
          <w:lang w:val="fr-FR"/>
        </w:rPr>
        <w:t xml:space="preserve">les peines infligées pour les délits </w:t>
      </w:r>
      <w:r w:rsidR="00B938A2" w:rsidRPr="00C70422">
        <w:rPr>
          <w:lang w:val="fr-FR"/>
        </w:rPr>
        <w:t>non</w:t>
      </w:r>
      <w:r w:rsidR="004844C5" w:rsidRPr="00C70422">
        <w:rPr>
          <w:lang w:val="fr-FR"/>
        </w:rPr>
        <w:t xml:space="preserve"> prescrits, </w:t>
      </w:r>
      <w:r w:rsidR="00B938A2" w:rsidRPr="00C70422">
        <w:rPr>
          <w:lang w:val="fr-FR"/>
        </w:rPr>
        <w:t>qu</w:t>
      </w:r>
      <w:r w:rsidR="00603708">
        <w:rPr>
          <w:lang w:val="fr-FR"/>
        </w:rPr>
        <w:t>’</w:t>
      </w:r>
      <w:r w:rsidR="00B938A2" w:rsidRPr="00C70422">
        <w:rPr>
          <w:lang w:val="fr-FR"/>
        </w:rPr>
        <w:t>il considère comme</w:t>
      </w:r>
      <w:r w:rsidR="00B55702" w:rsidRPr="00C70422">
        <w:rPr>
          <w:lang w:val="fr-FR"/>
        </w:rPr>
        <w:t xml:space="preserve"> </w:t>
      </w:r>
      <w:r w:rsidR="004844C5" w:rsidRPr="00C70422">
        <w:rPr>
          <w:lang w:val="fr-FR"/>
        </w:rPr>
        <w:t xml:space="preserve">dérisoires par rapport à la gravité des faits, ont </w:t>
      </w:r>
      <w:r w:rsidR="00600F25" w:rsidRPr="000B5793">
        <w:rPr>
          <w:lang w:val="fr-FR"/>
        </w:rPr>
        <w:t>fait l</w:t>
      </w:r>
      <w:r w:rsidR="00603708">
        <w:rPr>
          <w:lang w:val="fr-FR"/>
        </w:rPr>
        <w:t>’</w:t>
      </w:r>
      <w:r w:rsidR="00600F25" w:rsidRPr="000B5793">
        <w:rPr>
          <w:lang w:val="fr-FR"/>
        </w:rPr>
        <w:t>objet d</w:t>
      </w:r>
      <w:r w:rsidR="00603708">
        <w:rPr>
          <w:lang w:val="fr-FR"/>
        </w:rPr>
        <w:t>’</w:t>
      </w:r>
      <w:r w:rsidR="00600F25" w:rsidRPr="000B5793">
        <w:rPr>
          <w:lang w:val="fr-FR"/>
        </w:rPr>
        <w:t>une</w:t>
      </w:r>
      <w:r w:rsidR="004844C5" w:rsidRPr="00C70422">
        <w:rPr>
          <w:lang w:val="fr-FR"/>
        </w:rPr>
        <w:t xml:space="preserve"> remise</w:t>
      </w:r>
      <w:r w:rsidR="00600F25" w:rsidRPr="000B5793">
        <w:rPr>
          <w:lang w:val="fr-FR"/>
        </w:rPr>
        <w:t xml:space="preserve"> de peine</w:t>
      </w:r>
      <w:r w:rsidR="004844C5" w:rsidRPr="00C70422">
        <w:rPr>
          <w:lang w:val="fr-FR"/>
        </w:rPr>
        <w:t xml:space="preserve"> en application de la loi n</w:t>
      </w:r>
      <w:r w:rsidR="0032468C" w:rsidRPr="00C70422">
        <w:rPr>
          <w:vertAlign w:val="superscript"/>
          <w:lang w:val="fr-FR"/>
        </w:rPr>
        <w:t>o</w:t>
      </w:r>
      <w:r w:rsidR="004844C5" w:rsidRPr="00C70422">
        <w:rPr>
          <w:lang w:val="fr-FR"/>
        </w:rPr>
        <w:t xml:space="preserve"> 241 du </w:t>
      </w:r>
      <w:r w:rsidR="00600F25" w:rsidRPr="00C70422">
        <w:rPr>
          <w:lang w:val="fr-FR"/>
        </w:rPr>
        <w:t xml:space="preserve">29 juillet </w:t>
      </w:r>
      <w:r w:rsidR="004844C5" w:rsidRPr="00C70422">
        <w:rPr>
          <w:lang w:val="fr-FR"/>
        </w:rPr>
        <w:t>2006.</w:t>
      </w:r>
    </w:p>
    <w:p w:rsidR="0032468C" w:rsidRPr="00C70422" w:rsidRDefault="00AA36EB" w:rsidP="00334955">
      <w:pPr>
        <w:pStyle w:val="ECHRPara"/>
        <w:ind w:firstLine="426"/>
        <w:rPr>
          <w:lang w:val="fr-FR"/>
        </w:rPr>
      </w:pPr>
      <w:r w:rsidRPr="008E00A0">
        <w:rPr>
          <w:lang w:val="fr-FR"/>
        </w:rPr>
        <w:fldChar w:fldCharType="begin"/>
      </w:r>
      <w:r w:rsidRPr="00C70422">
        <w:rPr>
          <w:lang w:val="fr-FR"/>
        </w:rPr>
        <w:instrText xml:space="preserve"> SEQ level0 \*arabic </w:instrText>
      </w:r>
      <w:r w:rsidRPr="008E00A0">
        <w:rPr>
          <w:lang w:val="fr-FR"/>
        </w:rPr>
        <w:fldChar w:fldCharType="separate"/>
      </w:r>
      <w:r w:rsidR="00B378F9">
        <w:rPr>
          <w:noProof/>
          <w:lang w:val="fr-FR"/>
        </w:rPr>
        <w:t>193</w:t>
      </w:r>
      <w:r w:rsidRPr="008E00A0">
        <w:rPr>
          <w:lang w:val="fr-FR"/>
        </w:rPr>
        <w:fldChar w:fldCharType="end"/>
      </w:r>
      <w:r w:rsidRPr="00C70422">
        <w:rPr>
          <w:lang w:val="fr-FR"/>
        </w:rPr>
        <w:t>.  </w:t>
      </w:r>
      <w:r w:rsidR="00B938A2" w:rsidRPr="00C70422">
        <w:rPr>
          <w:lang w:val="fr-FR"/>
        </w:rPr>
        <w:t>Il</w:t>
      </w:r>
      <w:r w:rsidR="00545664" w:rsidRPr="00C70422">
        <w:rPr>
          <w:lang w:val="fr-FR"/>
        </w:rPr>
        <w:t xml:space="preserve"> allègue en outre que les responsables des év</w:t>
      </w:r>
      <w:r w:rsidR="00650C81" w:rsidRPr="00C70422">
        <w:rPr>
          <w:lang w:val="fr-FR"/>
        </w:rPr>
        <w:t>é</w:t>
      </w:r>
      <w:r w:rsidR="00545664" w:rsidRPr="00C70422">
        <w:rPr>
          <w:lang w:val="fr-FR"/>
        </w:rPr>
        <w:t>nements de l</w:t>
      </w:r>
      <w:r w:rsidR="00603708">
        <w:rPr>
          <w:lang w:val="fr-FR"/>
        </w:rPr>
        <w:t>’</w:t>
      </w:r>
      <w:r w:rsidR="00545664" w:rsidRPr="00C70422">
        <w:rPr>
          <w:lang w:val="fr-FR"/>
        </w:rPr>
        <w:t>école Diaz-Pertini n</w:t>
      </w:r>
      <w:r w:rsidR="00603708">
        <w:rPr>
          <w:lang w:val="fr-FR"/>
        </w:rPr>
        <w:t>’</w:t>
      </w:r>
      <w:r w:rsidR="00545664" w:rsidRPr="00C70422">
        <w:rPr>
          <w:lang w:val="fr-FR"/>
        </w:rPr>
        <w:t>ont pas été frappé</w:t>
      </w:r>
      <w:r w:rsidR="00630153" w:rsidRPr="00C70422">
        <w:rPr>
          <w:lang w:val="fr-FR"/>
        </w:rPr>
        <w:t>s</w:t>
      </w:r>
      <w:r w:rsidR="00545664" w:rsidRPr="00C70422">
        <w:rPr>
          <w:lang w:val="fr-FR"/>
        </w:rPr>
        <w:t xml:space="preserve"> par des mesures disciplinaires et qu</w:t>
      </w:r>
      <w:r w:rsidR="00603708">
        <w:rPr>
          <w:lang w:val="fr-FR"/>
        </w:rPr>
        <w:t>’</w:t>
      </w:r>
      <w:r w:rsidR="00545664" w:rsidRPr="00C70422">
        <w:rPr>
          <w:lang w:val="fr-FR"/>
        </w:rPr>
        <w:t>ils ont même obtenu des promotions.</w:t>
      </w:r>
    </w:p>
    <w:p w:rsidR="009E2141" w:rsidRPr="00027DAF" w:rsidRDefault="00545664" w:rsidP="008D6502">
      <w:pPr>
        <w:pStyle w:val="ECHRPara"/>
        <w:ind w:firstLine="426"/>
        <w:rPr>
          <w:lang w:val="fr-FR"/>
        </w:rPr>
      </w:pPr>
      <w:r w:rsidRPr="008E00A0">
        <w:rPr>
          <w:lang w:val="fr-FR"/>
        </w:rPr>
        <w:fldChar w:fldCharType="begin"/>
      </w:r>
      <w:r w:rsidRPr="00C70422">
        <w:rPr>
          <w:lang w:val="fr-FR"/>
        </w:rPr>
        <w:instrText xml:space="preserve"> SEQ level0 \*arabic </w:instrText>
      </w:r>
      <w:r w:rsidRPr="008E00A0">
        <w:rPr>
          <w:lang w:val="fr-FR"/>
        </w:rPr>
        <w:fldChar w:fldCharType="separate"/>
      </w:r>
      <w:r w:rsidR="00B378F9">
        <w:rPr>
          <w:noProof/>
          <w:lang w:val="fr-FR"/>
        </w:rPr>
        <w:t>194</w:t>
      </w:r>
      <w:r w:rsidRPr="008E00A0">
        <w:rPr>
          <w:lang w:val="fr-FR"/>
        </w:rPr>
        <w:fldChar w:fldCharType="end"/>
      </w:r>
      <w:r w:rsidR="009E2141" w:rsidRPr="00C70422">
        <w:rPr>
          <w:lang w:val="fr-FR"/>
        </w:rPr>
        <w:t xml:space="preserve">.  Dès lors, </w:t>
      </w:r>
      <w:r w:rsidR="004E64D7" w:rsidRPr="00C70422">
        <w:rPr>
          <w:lang w:val="fr-FR"/>
        </w:rPr>
        <w:t>s</w:t>
      </w:r>
      <w:r w:rsidR="00603708">
        <w:rPr>
          <w:lang w:val="fr-FR"/>
        </w:rPr>
        <w:t>’</w:t>
      </w:r>
      <w:r w:rsidR="004E64D7" w:rsidRPr="00C70422">
        <w:rPr>
          <w:lang w:val="fr-FR"/>
        </w:rPr>
        <w:t>appuy</w:t>
      </w:r>
      <w:r w:rsidR="00356AC3">
        <w:rPr>
          <w:lang w:val="fr-FR"/>
        </w:rPr>
        <w:t>ant</w:t>
      </w:r>
      <w:r w:rsidR="004E64D7" w:rsidRPr="00C70422">
        <w:rPr>
          <w:lang w:val="fr-FR"/>
        </w:rPr>
        <w:t xml:space="preserve"> notamment sur les arrêts </w:t>
      </w:r>
      <w:r w:rsidR="004E64D7" w:rsidRPr="00C70422">
        <w:rPr>
          <w:i/>
          <w:lang w:val="fr-FR"/>
        </w:rPr>
        <w:t>Tzekov</w:t>
      </w:r>
      <w:r w:rsidR="004E64D7" w:rsidRPr="00AC0DAF">
        <w:rPr>
          <w:lang w:val="fr-FR"/>
        </w:rPr>
        <w:t xml:space="preserve"> (précité, §§ 52-66, 69-73), </w:t>
      </w:r>
      <w:r w:rsidR="004E64D7" w:rsidRPr="00AC0DAF">
        <w:rPr>
          <w:i/>
          <w:lang w:val="fr-FR"/>
        </w:rPr>
        <w:t>Samoylov</w:t>
      </w:r>
      <w:r w:rsidR="004E64D7" w:rsidRPr="00AC0DAF">
        <w:rPr>
          <w:lang w:val="fr-FR"/>
        </w:rPr>
        <w:t xml:space="preserve"> (précité, §§ 31-33) et </w:t>
      </w:r>
      <w:r w:rsidR="004E64D7" w:rsidRPr="00AC0DAF">
        <w:rPr>
          <w:i/>
          <w:lang w:val="fr-FR"/>
        </w:rPr>
        <w:t>Polonskiy</w:t>
      </w:r>
      <w:r w:rsidR="004E64D7" w:rsidRPr="00AC0DAF">
        <w:rPr>
          <w:lang w:val="fr-FR"/>
        </w:rPr>
        <w:t xml:space="preserve"> (précité, §§ 106-117)</w:t>
      </w:r>
      <w:r w:rsidR="004E64D7" w:rsidRPr="00370159">
        <w:rPr>
          <w:lang w:val="fr-FR"/>
        </w:rPr>
        <w:t>,</w:t>
      </w:r>
      <w:r w:rsidR="004E64D7">
        <w:rPr>
          <w:lang w:val="fr-FR"/>
        </w:rPr>
        <w:t xml:space="preserve"> le requérant </w:t>
      </w:r>
      <w:r w:rsidR="00F2543A">
        <w:rPr>
          <w:lang w:val="fr-FR"/>
        </w:rPr>
        <w:t>reproche à</w:t>
      </w:r>
      <w:r>
        <w:rPr>
          <w:lang w:val="fr-FR"/>
        </w:rPr>
        <w:t xml:space="preserve"> l</w:t>
      </w:r>
      <w:r w:rsidR="00603708">
        <w:rPr>
          <w:lang w:val="fr-FR"/>
        </w:rPr>
        <w:t>’</w:t>
      </w:r>
      <w:r>
        <w:rPr>
          <w:lang w:val="fr-FR"/>
        </w:rPr>
        <w:t xml:space="preserve">État </w:t>
      </w:r>
      <w:r w:rsidR="00F2543A">
        <w:rPr>
          <w:lang w:val="fr-FR"/>
        </w:rPr>
        <w:t xml:space="preserve">de ne </w:t>
      </w:r>
      <w:r>
        <w:rPr>
          <w:lang w:val="fr-FR"/>
        </w:rPr>
        <w:t xml:space="preserve">pas </w:t>
      </w:r>
      <w:r w:rsidR="00F2543A">
        <w:rPr>
          <w:lang w:val="fr-FR"/>
        </w:rPr>
        <w:t xml:space="preserve">avoir </w:t>
      </w:r>
      <w:r>
        <w:rPr>
          <w:lang w:val="fr-FR"/>
        </w:rPr>
        <w:t>rempli ses obligations découlant de l</w:t>
      </w:r>
      <w:r w:rsidR="00603708">
        <w:rPr>
          <w:lang w:val="fr-FR"/>
        </w:rPr>
        <w:t>’</w:t>
      </w:r>
      <w:r>
        <w:rPr>
          <w:lang w:val="fr-FR"/>
        </w:rPr>
        <w:t>article 3 de la Convention</w:t>
      </w:r>
      <w:r w:rsidR="00737266">
        <w:rPr>
          <w:lang w:val="fr-FR"/>
        </w:rPr>
        <w:t>,</w:t>
      </w:r>
      <w:r w:rsidR="005805F3">
        <w:rPr>
          <w:lang w:val="fr-FR"/>
        </w:rPr>
        <w:t xml:space="preserve"> à savoir</w:t>
      </w:r>
      <w:r w:rsidR="00F2543A">
        <w:rPr>
          <w:lang w:val="fr-FR"/>
        </w:rPr>
        <w:t>, selon lui,</w:t>
      </w:r>
      <w:r>
        <w:rPr>
          <w:lang w:val="fr-FR"/>
        </w:rPr>
        <w:t xml:space="preserve"> </w:t>
      </w:r>
      <w:r w:rsidR="005805F3">
        <w:rPr>
          <w:lang w:val="fr-FR"/>
        </w:rPr>
        <w:t xml:space="preserve">celles </w:t>
      </w:r>
      <w:r>
        <w:rPr>
          <w:lang w:val="fr-FR"/>
        </w:rPr>
        <w:t>de conduire une enquête effective sur les actes de torture dont il a été victime, d</w:t>
      </w:r>
      <w:r w:rsidR="00603708">
        <w:rPr>
          <w:lang w:val="fr-FR"/>
        </w:rPr>
        <w:t>’</w:t>
      </w:r>
      <w:r>
        <w:rPr>
          <w:lang w:val="fr-FR"/>
        </w:rPr>
        <w:t>identifier le</w:t>
      </w:r>
      <w:r w:rsidR="00F2543A">
        <w:rPr>
          <w:lang w:val="fr-FR"/>
        </w:rPr>
        <w:t>s</w:t>
      </w:r>
      <w:r>
        <w:rPr>
          <w:lang w:val="fr-FR"/>
        </w:rPr>
        <w:t xml:space="preserve"> auteurs </w:t>
      </w:r>
      <w:r w:rsidR="00F2543A">
        <w:rPr>
          <w:lang w:val="fr-FR"/>
        </w:rPr>
        <w:t xml:space="preserve">de ces actes </w:t>
      </w:r>
      <w:r>
        <w:rPr>
          <w:lang w:val="fr-FR"/>
        </w:rPr>
        <w:t>et de les sanctionner de manière adéquate</w:t>
      </w:r>
      <w:r w:rsidR="00027DAF">
        <w:rPr>
          <w:lang w:val="fr-FR"/>
        </w:rPr>
        <w:t>.</w:t>
      </w:r>
    </w:p>
    <w:p w:rsidR="0032468C" w:rsidRDefault="009E2141" w:rsidP="00334955">
      <w:pPr>
        <w:pStyle w:val="ECHRPara"/>
        <w:ind w:firstLine="426"/>
        <w:rPr>
          <w:lang w:val="fr-FR" w:eastAsia="en-GB"/>
        </w:rPr>
      </w:pPr>
      <w:r>
        <w:rPr>
          <w:lang w:val="fr-FR"/>
        </w:rPr>
        <w:fldChar w:fldCharType="begin"/>
      </w:r>
      <w:r>
        <w:rPr>
          <w:lang w:val="fr-FR"/>
        </w:rPr>
        <w:instrText xml:space="preserve"> SEQ level0 \*arabic </w:instrText>
      </w:r>
      <w:r>
        <w:rPr>
          <w:lang w:val="fr-FR"/>
        </w:rPr>
        <w:fldChar w:fldCharType="separate"/>
      </w:r>
      <w:r w:rsidR="00B378F9">
        <w:rPr>
          <w:noProof/>
          <w:lang w:val="fr-FR"/>
        </w:rPr>
        <w:t>195</w:t>
      </w:r>
      <w:r>
        <w:rPr>
          <w:lang w:val="fr-FR"/>
        </w:rPr>
        <w:fldChar w:fldCharType="end"/>
      </w:r>
      <w:r>
        <w:rPr>
          <w:lang w:val="fr-FR"/>
        </w:rPr>
        <w:t>.  </w:t>
      </w:r>
      <w:r w:rsidR="00950EC3">
        <w:rPr>
          <w:lang w:val="fr-FR"/>
        </w:rPr>
        <w:t>Il précise que l</w:t>
      </w:r>
      <w:r w:rsidR="009B45B0">
        <w:rPr>
          <w:lang w:val="fr-FR"/>
        </w:rPr>
        <w:t xml:space="preserve">es </w:t>
      </w:r>
      <w:r w:rsidR="00116014">
        <w:rPr>
          <w:lang w:val="fr-FR"/>
        </w:rPr>
        <w:t>Hautes Parties</w:t>
      </w:r>
      <w:r w:rsidR="009B45B0">
        <w:rPr>
          <w:lang w:val="fr-FR"/>
        </w:rPr>
        <w:t xml:space="preserve"> contractant</w:t>
      </w:r>
      <w:r w:rsidR="00C70422">
        <w:rPr>
          <w:lang w:val="fr-FR"/>
        </w:rPr>
        <w:t>e</w:t>
      </w:r>
      <w:r w:rsidR="009B45B0">
        <w:rPr>
          <w:lang w:val="fr-FR"/>
        </w:rPr>
        <w:t>s d</w:t>
      </w:r>
      <w:r w:rsidR="00950EC3">
        <w:rPr>
          <w:lang w:val="fr-FR"/>
        </w:rPr>
        <w:t>oivent</w:t>
      </w:r>
      <w:r w:rsidR="009B45B0">
        <w:rPr>
          <w:lang w:val="fr-FR"/>
        </w:rPr>
        <w:t xml:space="preserve"> </w:t>
      </w:r>
      <w:r w:rsidR="00C70422">
        <w:rPr>
          <w:lang w:val="fr-FR"/>
        </w:rPr>
        <w:t xml:space="preserve">mettre en place </w:t>
      </w:r>
      <w:r w:rsidR="009B45B0">
        <w:rPr>
          <w:lang w:val="fr-FR"/>
        </w:rPr>
        <w:t xml:space="preserve">un cadre juridique conforme à la protection des droits reconnus par la Convention et ses Protocoles, </w:t>
      </w:r>
      <w:r w:rsidR="00950EC3">
        <w:rPr>
          <w:lang w:val="fr-FR"/>
        </w:rPr>
        <w:t>et</w:t>
      </w:r>
      <w:r w:rsidR="00AA36EB">
        <w:rPr>
          <w:lang w:val="fr-FR"/>
        </w:rPr>
        <w:t xml:space="preserve"> </w:t>
      </w:r>
      <w:r w:rsidR="009B45B0">
        <w:rPr>
          <w:lang w:val="fr-FR"/>
        </w:rPr>
        <w:t>reproche</w:t>
      </w:r>
      <w:r>
        <w:rPr>
          <w:lang w:val="fr-FR"/>
        </w:rPr>
        <w:t xml:space="preserve"> </w:t>
      </w:r>
      <w:r w:rsidR="00C70422">
        <w:rPr>
          <w:lang w:val="fr-FR"/>
        </w:rPr>
        <w:t>à cet égard</w:t>
      </w:r>
      <w:r w:rsidR="00AA36EB">
        <w:rPr>
          <w:lang w:val="fr-FR"/>
        </w:rPr>
        <w:t xml:space="preserve"> </w:t>
      </w:r>
      <w:r w:rsidR="00116014">
        <w:rPr>
          <w:lang w:val="fr-FR"/>
        </w:rPr>
        <w:t xml:space="preserve">à </w:t>
      </w:r>
      <w:r w:rsidR="0020671F">
        <w:rPr>
          <w:lang w:val="fr-FR"/>
        </w:rPr>
        <w:t>l</w:t>
      </w:r>
      <w:r w:rsidR="00603708">
        <w:rPr>
          <w:lang w:val="fr-FR"/>
        </w:rPr>
        <w:t>’</w:t>
      </w:r>
      <w:r w:rsidR="0020671F">
        <w:rPr>
          <w:lang w:val="fr-FR"/>
        </w:rPr>
        <w:t>État</w:t>
      </w:r>
      <w:r w:rsidR="009B45B0">
        <w:rPr>
          <w:lang w:val="fr-FR"/>
        </w:rPr>
        <w:t xml:space="preserve"> italien de ne pas avoir</w:t>
      </w:r>
      <w:r w:rsidR="0020671F">
        <w:rPr>
          <w:lang w:val="fr-FR"/>
        </w:rPr>
        <w:t xml:space="preserve"> inscrit</w:t>
      </w:r>
      <w:r w:rsidR="00AA36EB" w:rsidRPr="005A3826">
        <w:rPr>
          <w:lang w:val="fr-FR" w:eastAsia="en-GB"/>
        </w:rPr>
        <w:t xml:space="preserve"> en délit tout acte </w:t>
      </w:r>
      <w:r w:rsidR="00AA36EB">
        <w:rPr>
          <w:lang w:val="fr-FR" w:eastAsia="en-GB"/>
        </w:rPr>
        <w:t>de torture</w:t>
      </w:r>
      <w:r w:rsidR="00116014">
        <w:rPr>
          <w:lang w:val="fr-FR" w:eastAsia="en-GB"/>
        </w:rPr>
        <w:t xml:space="preserve"> et tout traitement inhumain et dégradant</w:t>
      </w:r>
      <w:r w:rsidR="00AA36EB" w:rsidRPr="005A3826">
        <w:rPr>
          <w:lang w:val="fr-FR" w:eastAsia="en-GB"/>
        </w:rPr>
        <w:t>,</w:t>
      </w:r>
      <w:r w:rsidR="00AA36EB">
        <w:rPr>
          <w:lang w:val="fr-FR" w:eastAsia="en-GB"/>
        </w:rPr>
        <w:t xml:space="preserve"> </w:t>
      </w:r>
      <w:r w:rsidR="009B45B0">
        <w:rPr>
          <w:lang w:val="fr-FR" w:eastAsia="en-GB"/>
        </w:rPr>
        <w:t xml:space="preserve">ce qui </w:t>
      </w:r>
      <w:r w:rsidR="00950EC3">
        <w:rPr>
          <w:lang w:val="fr-FR" w:eastAsia="en-GB"/>
        </w:rPr>
        <w:t xml:space="preserve">est à ses yeux </w:t>
      </w:r>
      <w:r w:rsidR="009B45B0">
        <w:rPr>
          <w:lang w:val="fr-FR" w:eastAsia="en-GB"/>
        </w:rPr>
        <w:t>contraire</w:t>
      </w:r>
      <w:r w:rsidR="00116014">
        <w:rPr>
          <w:lang w:val="fr-FR" w:eastAsia="en-GB"/>
        </w:rPr>
        <w:t>, au demeurant,</w:t>
      </w:r>
      <w:r w:rsidR="009B45B0">
        <w:rPr>
          <w:lang w:val="fr-FR" w:eastAsia="en-GB"/>
        </w:rPr>
        <w:t xml:space="preserve"> aux engagements pris </w:t>
      </w:r>
      <w:r w:rsidR="00950EC3">
        <w:rPr>
          <w:lang w:val="fr-FR" w:eastAsia="en-GB"/>
        </w:rPr>
        <w:t>par l</w:t>
      </w:r>
      <w:r w:rsidR="00603708">
        <w:rPr>
          <w:lang w:val="fr-FR" w:eastAsia="en-GB"/>
        </w:rPr>
        <w:t>’</w:t>
      </w:r>
      <w:r w:rsidR="00950EC3">
        <w:rPr>
          <w:lang w:val="fr-FR" w:eastAsia="en-GB"/>
        </w:rPr>
        <w:t xml:space="preserve">Italie </w:t>
      </w:r>
      <w:r w:rsidR="00116014">
        <w:rPr>
          <w:lang w:val="fr-FR" w:eastAsia="en-GB"/>
        </w:rPr>
        <w:t xml:space="preserve">en 1989 </w:t>
      </w:r>
      <w:r w:rsidR="00B55702">
        <w:rPr>
          <w:lang w:val="fr-FR" w:eastAsia="en-GB"/>
        </w:rPr>
        <w:t>lors de la</w:t>
      </w:r>
      <w:r w:rsidR="009B45B0">
        <w:rPr>
          <w:lang w:val="fr-FR" w:eastAsia="en-GB"/>
        </w:rPr>
        <w:t xml:space="preserve"> ratification de </w:t>
      </w:r>
      <w:r w:rsidR="0020671F">
        <w:rPr>
          <w:lang w:val="fr-FR" w:eastAsia="en-GB"/>
        </w:rPr>
        <w:t>la Convention contre la torture et autres peines ou traitements cruels, inhumains ou dégradants</w:t>
      </w:r>
      <w:r w:rsidR="00116014">
        <w:rPr>
          <w:lang w:val="fr-FR" w:eastAsia="en-GB"/>
        </w:rPr>
        <w:t xml:space="preserve"> (</w:t>
      </w:r>
      <w:r w:rsidR="00B53106" w:rsidRPr="00AC0DAF">
        <w:rPr>
          <w:lang w:val="fr-FR" w:eastAsia="en-GB"/>
        </w:rPr>
        <w:t>paragraphe 109 ci-dessus</w:t>
      </w:r>
      <w:r w:rsidR="00116014" w:rsidRPr="00370159">
        <w:rPr>
          <w:lang w:val="fr-FR" w:eastAsia="en-GB"/>
        </w:rPr>
        <w:t>)</w:t>
      </w:r>
      <w:r w:rsidR="0020671F">
        <w:rPr>
          <w:lang w:val="fr-FR" w:eastAsia="en-GB"/>
        </w:rPr>
        <w:t>.</w:t>
      </w:r>
    </w:p>
    <w:p w:rsidR="00AA36EB" w:rsidRDefault="0020671F" w:rsidP="00334955">
      <w:pPr>
        <w:pStyle w:val="ECHRPara"/>
        <w:ind w:firstLine="426"/>
        <w:rPr>
          <w:lang w:val="fr-FR" w:eastAsia="en-GB"/>
        </w:rPr>
      </w:pPr>
      <w:r>
        <w:rPr>
          <w:lang w:val="fr-FR" w:eastAsia="en-GB"/>
        </w:rPr>
        <w:t xml:space="preserve">Ainsi, </w:t>
      </w:r>
      <w:r w:rsidR="00950EC3">
        <w:rPr>
          <w:lang w:val="fr-FR" w:eastAsia="en-GB"/>
        </w:rPr>
        <w:t xml:space="preserve">il allègue que </w:t>
      </w:r>
      <w:r>
        <w:rPr>
          <w:lang w:val="fr-FR" w:eastAsia="en-GB"/>
        </w:rPr>
        <w:t>l</w:t>
      </w:r>
      <w:r w:rsidR="00603708">
        <w:rPr>
          <w:lang w:val="fr-FR" w:eastAsia="en-GB"/>
        </w:rPr>
        <w:t>’</w:t>
      </w:r>
      <w:r>
        <w:rPr>
          <w:lang w:val="fr-FR" w:eastAsia="en-GB"/>
        </w:rPr>
        <w:t>État n</w:t>
      </w:r>
      <w:r w:rsidR="00603708">
        <w:rPr>
          <w:lang w:val="fr-FR" w:eastAsia="en-GB"/>
        </w:rPr>
        <w:t>’</w:t>
      </w:r>
      <w:r>
        <w:rPr>
          <w:lang w:val="fr-FR" w:eastAsia="en-GB"/>
        </w:rPr>
        <w:t xml:space="preserve">a pas adopté </w:t>
      </w:r>
      <w:r w:rsidR="00AA36EB" w:rsidRPr="005A3826">
        <w:rPr>
          <w:lang w:val="fr-FR" w:eastAsia="en-GB"/>
        </w:rPr>
        <w:t xml:space="preserve">les mesures nécessaires pour prévenir </w:t>
      </w:r>
      <w:r>
        <w:rPr>
          <w:lang w:val="fr-FR" w:eastAsia="en-GB"/>
        </w:rPr>
        <w:t>les actes de torture</w:t>
      </w:r>
      <w:r w:rsidR="00AA36EB">
        <w:rPr>
          <w:lang w:val="fr-FR" w:eastAsia="en-GB"/>
        </w:rPr>
        <w:t xml:space="preserve"> dont il a</w:t>
      </w:r>
      <w:r w:rsidR="00950EC3">
        <w:rPr>
          <w:lang w:val="fr-FR" w:eastAsia="en-GB"/>
        </w:rPr>
        <w:t>urait</w:t>
      </w:r>
      <w:r w:rsidR="00AA36EB">
        <w:rPr>
          <w:lang w:val="fr-FR" w:eastAsia="en-GB"/>
        </w:rPr>
        <w:t xml:space="preserve"> été victime et pour le</w:t>
      </w:r>
      <w:r w:rsidR="009E2141">
        <w:rPr>
          <w:lang w:val="fr-FR" w:eastAsia="en-GB"/>
        </w:rPr>
        <w:t>s</w:t>
      </w:r>
      <w:r w:rsidR="00AA36EB">
        <w:rPr>
          <w:lang w:val="fr-FR" w:eastAsia="en-GB"/>
        </w:rPr>
        <w:t xml:space="preserve"> sanctionner de manière adéquate.</w:t>
      </w:r>
    </w:p>
    <w:p w:rsidR="00603708" w:rsidRDefault="00887C51" w:rsidP="00334955">
      <w:pPr>
        <w:pStyle w:val="ECHRPara"/>
        <w:ind w:firstLine="426"/>
        <w:rPr>
          <w:rStyle w:val="sb8d990e2"/>
          <w:lang w:val="fr-FR"/>
        </w:rPr>
      </w:pPr>
      <w:r>
        <w:rPr>
          <w:lang w:val="fr-FR" w:eastAsia="en-GB"/>
        </w:rPr>
        <w:t>Enfin, selon le requérant, cette</w:t>
      </w:r>
      <w:r w:rsidR="009309EE">
        <w:rPr>
          <w:lang w:val="fr-FR" w:eastAsia="en-GB"/>
        </w:rPr>
        <w:t xml:space="preserve"> lacune </w:t>
      </w:r>
      <w:r>
        <w:rPr>
          <w:lang w:val="fr-FR" w:eastAsia="en-GB"/>
        </w:rPr>
        <w:t xml:space="preserve">a été </w:t>
      </w:r>
      <w:r w:rsidR="009309EE">
        <w:rPr>
          <w:lang w:val="fr-FR" w:eastAsia="en-GB"/>
        </w:rPr>
        <w:t xml:space="preserve">mise en évidence </w:t>
      </w:r>
      <w:r w:rsidR="00B55702">
        <w:rPr>
          <w:lang w:val="fr-FR" w:eastAsia="en-GB"/>
        </w:rPr>
        <w:t xml:space="preserve">en dernier ressort </w:t>
      </w:r>
      <w:r w:rsidR="009309EE">
        <w:rPr>
          <w:lang w:val="fr-FR" w:eastAsia="en-GB"/>
        </w:rPr>
        <w:t xml:space="preserve">par le </w:t>
      </w:r>
      <w:r w:rsidR="009309EE" w:rsidRPr="00683BA9">
        <w:rPr>
          <w:rStyle w:val="sb8d990e2"/>
          <w:lang w:val="fr-FR"/>
        </w:rPr>
        <w:t>CPT</w:t>
      </w:r>
      <w:r>
        <w:rPr>
          <w:rStyle w:val="sb8d990e2"/>
          <w:lang w:val="fr-FR"/>
        </w:rPr>
        <w:t xml:space="preserve"> </w:t>
      </w:r>
      <w:r w:rsidR="009309EE">
        <w:rPr>
          <w:rStyle w:val="sb8d990e2"/>
          <w:lang w:val="fr-FR"/>
        </w:rPr>
        <w:t xml:space="preserve">dans son rapport </w:t>
      </w:r>
      <w:r w:rsidR="009309EE" w:rsidRPr="00683BA9">
        <w:rPr>
          <w:rStyle w:val="sb8d990e2"/>
          <w:lang w:val="fr-FR"/>
        </w:rPr>
        <w:t xml:space="preserve">au </w:t>
      </w:r>
      <w:r w:rsidR="009309EE">
        <w:rPr>
          <w:rStyle w:val="sb8d990e2"/>
          <w:lang w:val="fr-FR"/>
        </w:rPr>
        <w:t>Gouvernement</w:t>
      </w:r>
      <w:r w:rsidR="009309EE" w:rsidRPr="00683BA9">
        <w:rPr>
          <w:rStyle w:val="sb8d990e2"/>
          <w:lang w:val="fr-FR"/>
        </w:rPr>
        <w:t xml:space="preserve"> </w:t>
      </w:r>
      <w:r w:rsidR="009309EE">
        <w:rPr>
          <w:rStyle w:val="sb8d990e2"/>
          <w:lang w:val="fr-FR"/>
        </w:rPr>
        <w:t>italien</w:t>
      </w:r>
      <w:r w:rsidR="009309EE" w:rsidRPr="00683BA9">
        <w:rPr>
          <w:rStyle w:val="sb8d990e2"/>
          <w:lang w:val="fr-FR"/>
        </w:rPr>
        <w:t xml:space="preserve"> sur la </w:t>
      </w:r>
      <w:r w:rsidR="009309EE" w:rsidRPr="00683BA9">
        <w:rPr>
          <w:rStyle w:val="wordhighlighted"/>
          <w:lang w:val="fr-FR"/>
        </w:rPr>
        <w:t>visite</w:t>
      </w:r>
      <w:r w:rsidR="009309EE" w:rsidRPr="00683BA9">
        <w:rPr>
          <w:rStyle w:val="sb8d990e2"/>
          <w:lang w:val="fr-FR"/>
        </w:rPr>
        <w:t xml:space="preserve"> qu</w:t>
      </w:r>
      <w:r w:rsidR="00603708">
        <w:rPr>
          <w:rStyle w:val="sb8d990e2"/>
          <w:lang w:val="fr-FR"/>
        </w:rPr>
        <w:t>’</w:t>
      </w:r>
      <w:r w:rsidR="009309EE" w:rsidRPr="00683BA9">
        <w:rPr>
          <w:rStyle w:val="sb8d990e2"/>
          <w:lang w:val="fr-FR"/>
        </w:rPr>
        <w:t>il a effectuée</w:t>
      </w:r>
      <w:r w:rsidR="009309EE">
        <w:rPr>
          <w:rStyle w:val="sb8d990e2"/>
          <w:lang w:val="fr-FR"/>
        </w:rPr>
        <w:t xml:space="preserve"> en Italie</w:t>
      </w:r>
      <w:r w:rsidR="009309EE" w:rsidRPr="00683BA9">
        <w:rPr>
          <w:rStyle w:val="sb8d990e2"/>
          <w:lang w:val="fr-FR"/>
        </w:rPr>
        <w:t xml:space="preserve"> du </w:t>
      </w:r>
      <w:r w:rsidR="009309EE">
        <w:rPr>
          <w:rStyle w:val="sb8d990e2"/>
          <w:lang w:val="fr-FR"/>
        </w:rPr>
        <w:t>13 au 25 mai 2012 (</w:t>
      </w:r>
      <w:r w:rsidR="00B53106" w:rsidRPr="00AC0DAF">
        <w:rPr>
          <w:rStyle w:val="sb8d990e2"/>
          <w:lang w:val="fr-FR"/>
        </w:rPr>
        <w:t>paragraphe 120 ci-dessus</w:t>
      </w:r>
      <w:r w:rsidR="009309EE">
        <w:rPr>
          <w:rStyle w:val="sb8d990e2"/>
          <w:lang w:val="fr-FR"/>
        </w:rPr>
        <w:t>)</w:t>
      </w:r>
      <w:r w:rsidR="00031B69">
        <w:rPr>
          <w:rStyle w:val="sb8d990e2"/>
          <w:lang w:val="fr-FR"/>
        </w:rPr>
        <w:t>.</w:t>
      </w:r>
    </w:p>
    <w:p w:rsidR="00B53106" w:rsidRDefault="00B53106" w:rsidP="000B5793">
      <w:pPr>
        <w:pStyle w:val="ECHRHeading5"/>
        <w:rPr>
          <w:lang w:val="fr-FR"/>
        </w:rPr>
      </w:pPr>
      <w:r>
        <w:rPr>
          <w:lang w:val="fr-FR"/>
        </w:rPr>
        <w:t>ii.</w:t>
      </w:r>
      <w:r w:rsidR="003A0DA9">
        <w:rPr>
          <w:lang w:val="fr-FR"/>
        </w:rPr>
        <w:t>  </w:t>
      </w:r>
      <w:r>
        <w:rPr>
          <w:lang w:val="fr-FR"/>
        </w:rPr>
        <w:t>Le Gouvernement</w:t>
      </w:r>
    </w:p>
    <w:p w:rsidR="00603708" w:rsidRDefault="00A37ED0" w:rsidP="00EA4EF5">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196</w:t>
      </w:r>
      <w:r>
        <w:rPr>
          <w:lang w:val="fr-FR"/>
        </w:rPr>
        <w:fldChar w:fldCharType="end"/>
      </w:r>
      <w:r>
        <w:rPr>
          <w:lang w:val="fr-FR"/>
        </w:rPr>
        <w:t>.  </w:t>
      </w:r>
      <w:r w:rsidR="00116014">
        <w:rPr>
          <w:lang w:val="fr-FR"/>
        </w:rPr>
        <w:t>Le Gouvernement</w:t>
      </w:r>
      <w:r w:rsidR="001F346C">
        <w:rPr>
          <w:lang w:val="fr-FR"/>
        </w:rPr>
        <w:t xml:space="preserve"> estime que l</w:t>
      </w:r>
      <w:r w:rsidR="00603708">
        <w:rPr>
          <w:lang w:val="fr-FR"/>
        </w:rPr>
        <w:t>’</w:t>
      </w:r>
      <w:r w:rsidR="001F346C">
        <w:rPr>
          <w:lang w:val="fr-FR"/>
        </w:rPr>
        <w:t xml:space="preserve">État </w:t>
      </w:r>
      <w:r w:rsidR="00887C51">
        <w:rPr>
          <w:lang w:val="fr-FR"/>
        </w:rPr>
        <w:t>a</w:t>
      </w:r>
      <w:r w:rsidR="001F346C">
        <w:rPr>
          <w:lang w:val="fr-FR"/>
        </w:rPr>
        <w:t xml:space="preserve"> bien rempli l</w:t>
      </w:r>
      <w:r w:rsidR="00603708">
        <w:rPr>
          <w:lang w:val="fr-FR"/>
        </w:rPr>
        <w:t>’</w:t>
      </w:r>
      <w:r w:rsidR="001F346C">
        <w:rPr>
          <w:lang w:val="fr-FR"/>
        </w:rPr>
        <w:t>obligation positive</w:t>
      </w:r>
      <w:r w:rsidR="00C70422">
        <w:rPr>
          <w:lang w:val="fr-FR"/>
        </w:rPr>
        <w:t xml:space="preserve"> –</w:t>
      </w:r>
      <w:r w:rsidR="00887C51">
        <w:rPr>
          <w:lang w:val="fr-FR"/>
        </w:rPr>
        <w:t xml:space="preserve"> qui</w:t>
      </w:r>
      <w:r w:rsidR="00393F0D">
        <w:rPr>
          <w:lang w:val="fr-FR"/>
        </w:rPr>
        <w:t xml:space="preserve"> découl</w:t>
      </w:r>
      <w:r w:rsidR="00887C51">
        <w:rPr>
          <w:lang w:val="fr-FR"/>
        </w:rPr>
        <w:t>erait</w:t>
      </w:r>
      <w:r w:rsidR="00393F0D">
        <w:rPr>
          <w:lang w:val="fr-FR"/>
        </w:rPr>
        <w:t xml:space="preserve"> de l</w:t>
      </w:r>
      <w:r w:rsidR="00603708">
        <w:rPr>
          <w:lang w:val="fr-FR"/>
        </w:rPr>
        <w:t>’</w:t>
      </w:r>
      <w:r w:rsidR="00393F0D">
        <w:rPr>
          <w:lang w:val="fr-FR"/>
        </w:rPr>
        <w:t>article 3</w:t>
      </w:r>
      <w:r w:rsidR="00887C51">
        <w:rPr>
          <w:lang w:val="fr-FR"/>
        </w:rPr>
        <w:t xml:space="preserve"> de la Convention</w:t>
      </w:r>
      <w:r w:rsidR="00C70422">
        <w:rPr>
          <w:lang w:val="fr-FR"/>
        </w:rPr>
        <w:t xml:space="preserve"> –</w:t>
      </w:r>
      <w:r w:rsidR="001F346C">
        <w:rPr>
          <w:lang w:val="fr-FR"/>
        </w:rPr>
        <w:t xml:space="preserve"> d</w:t>
      </w:r>
      <w:r w:rsidR="00887C51">
        <w:rPr>
          <w:lang w:val="fr-FR"/>
        </w:rPr>
        <w:t>e mener une enquête</w:t>
      </w:r>
      <w:r w:rsidR="001F346C">
        <w:rPr>
          <w:lang w:val="fr-FR"/>
        </w:rPr>
        <w:t xml:space="preserve"> indépendante, impartiale et approfondie</w:t>
      </w:r>
      <w:r w:rsidR="007A4D72">
        <w:rPr>
          <w:lang w:val="fr-FR"/>
        </w:rPr>
        <w:t xml:space="preserve">. </w:t>
      </w:r>
      <w:r w:rsidR="00C70422">
        <w:rPr>
          <w:lang w:val="fr-FR"/>
        </w:rPr>
        <w:t>Il affirme que l</w:t>
      </w:r>
      <w:r w:rsidR="007A4D72">
        <w:rPr>
          <w:lang w:val="fr-FR"/>
        </w:rPr>
        <w:t xml:space="preserve">es autorités </w:t>
      </w:r>
      <w:r w:rsidR="00C70422">
        <w:rPr>
          <w:lang w:val="fr-FR"/>
        </w:rPr>
        <w:t>ont</w:t>
      </w:r>
      <w:r w:rsidR="001F346C">
        <w:rPr>
          <w:lang w:val="fr-FR"/>
        </w:rPr>
        <w:t xml:space="preserve"> adopt</w:t>
      </w:r>
      <w:r w:rsidR="007A4D72">
        <w:rPr>
          <w:lang w:val="fr-FR"/>
        </w:rPr>
        <w:t>é</w:t>
      </w:r>
      <w:r w:rsidR="001F346C">
        <w:rPr>
          <w:lang w:val="fr-FR"/>
        </w:rPr>
        <w:t xml:space="preserve"> toute</w:t>
      </w:r>
      <w:r w:rsidR="007A4D72">
        <w:rPr>
          <w:lang w:val="fr-FR"/>
        </w:rPr>
        <w:t>s</w:t>
      </w:r>
      <w:r w:rsidR="001F346C">
        <w:rPr>
          <w:lang w:val="fr-FR"/>
        </w:rPr>
        <w:t xml:space="preserve"> les mesures qui</w:t>
      </w:r>
      <w:r w:rsidR="00EE2626">
        <w:rPr>
          <w:lang w:val="fr-FR"/>
        </w:rPr>
        <w:t xml:space="preserve">, comme </w:t>
      </w:r>
      <w:r w:rsidR="007A4D72">
        <w:rPr>
          <w:lang w:val="fr-FR"/>
        </w:rPr>
        <w:t>l</w:t>
      </w:r>
      <w:r w:rsidR="00603708">
        <w:rPr>
          <w:lang w:val="fr-FR"/>
        </w:rPr>
        <w:t>’</w:t>
      </w:r>
      <w:r w:rsidR="007A4D72">
        <w:rPr>
          <w:lang w:val="fr-FR"/>
        </w:rPr>
        <w:t>exigerait</w:t>
      </w:r>
      <w:r w:rsidR="00EE2626">
        <w:rPr>
          <w:lang w:val="fr-FR"/>
        </w:rPr>
        <w:t xml:space="preserve"> la jurisprudence de la Cour (</w:t>
      </w:r>
      <w:r w:rsidR="00F44FF5" w:rsidRPr="00AC0DAF">
        <w:rPr>
          <w:i/>
          <w:lang w:val="fr-FR"/>
        </w:rPr>
        <w:t>Gäfgen</w:t>
      </w:r>
      <w:r w:rsidR="00ED5FE7" w:rsidRPr="00AC0DAF">
        <w:rPr>
          <w:lang w:val="fr-FR"/>
        </w:rPr>
        <w:t>, précité, §§ 115-116</w:t>
      </w:r>
      <w:r w:rsidR="007A4D72">
        <w:rPr>
          <w:lang w:val="fr-FR"/>
        </w:rPr>
        <w:t>,</w:t>
      </w:r>
      <w:r w:rsidR="00ED5FE7" w:rsidRPr="00AC0DAF">
        <w:rPr>
          <w:lang w:val="fr-FR"/>
        </w:rPr>
        <w:t xml:space="preserve"> </w:t>
      </w:r>
      <w:r w:rsidR="007A4D72">
        <w:rPr>
          <w:lang w:val="fr-FR"/>
        </w:rPr>
        <w:t>avec</w:t>
      </w:r>
      <w:r w:rsidR="00ED5FE7" w:rsidRPr="00AC0DAF">
        <w:rPr>
          <w:lang w:val="fr-FR"/>
        </w:rPr>
        <w:t xml:space="preserve"> les références qu</w:t>
      </w:r>
      <w:r w:rsidR="007A4D72">
        <w:rPr>
          <w:lang w:val="fr-FR"/>
        </w:rPr>
        <w:t xml:space="preserve">i </w:t>
      </w:r>
      <w:r w:rsidR="00ED5FE7" w:rsidRPr="00AC0DAF">
        <w:rPr>
          <w:lang w:val="fr-FR"/>
        </w:rPr>
        <w:t>y figurent</w:t>
      </w:r>
      <w:r w:rsidR="00EA4EF5" w:rsidRPr="00370159">
        <w:rPr>
          <w:lang w:val="fr-FR"/>
        </w:rPr>
        <w:t>)</w:t>
      </w:r>
      <w:r w:rsidR="007908CC">
        <w:rPr>
          <w:lang w:val="fr-FR"/>
        </w:rPr>
        <w:t>,</w:t>
      </w:r>
      <w:r w:rsidR="00EE2626">
        <w:rPr>
          <w:lang w:val="fr-FR"/>
        </w:rPr>
        <w:t xml:space="preserve"> </w:t>
      </w:r>
      <w:r w:rsidR="007A4D72">
        <w:rPr>
          <w:lang w:val="fr-FR"/>
        </w:rPr>
        <w:t>auraient</w:t>
      </w:r>
      <w:r w:rsidR="001F346C">
        <w:rPr>
          <w:lang w:val="fr-FR"/>
        </w:rPr>
        <w:t xml:space="preserve"> permis l</w:t>
      </w:r>
      <w:r w:rsidR="00603708">
        <w:rPr>
          <w:lang w:val="fr-FR"/>
        </w:rPr>
        <w:t>’</w:t>
      </w:r>
      <w:r w:rsidR="001F346C">
        <w:rPr>
          <w:lang w:val="fr-FR"/>
        </w:rPr>
        <w:t>identification et la condamnation des responsables des mauvais traitements litigieux à une peine proportionnée aux délits commis</w:t>
      </w:r>
      <w:r w:rsidR="00687CF3">
        <w:rPr>
          <w:lang w:val="fr-FR"/>
        </w:rPr>
        <w:t xml:space="preserve"> ainsi que l</w:t>
      </w:r>
      <w:r w:rsidR="00603708">
        <w:rPr>
          <w:lang w:val="fr-FR"/>
        </w:rPr>
        <w:t>’</w:t>
      </w:r>
      <w:r w:rsidR="00687CF3">
        <w:rPr>
          <w:lang w:val="fr-FR"/>
        </w:rPr>
        <w:t>indemnisation de la victime</w:t>
      </w:r>
      <w:r w:rsidR="001F346C">
        <w:rPr>
          <w:lang w:val="fr-FR"/>
        </w:rPr>
        <w:t>.</w:t>
      </w:r>
    </w:p>
    <w:p w:rsidR="0032468C" w:rsidRPr="00DB4117" w:rsidRDefault="007A4D72" w:rsidP="00334955">
      <w:pPr>
        <w:pStyle w:val="ECHRPara"/>
        <w:ind w:firstLine="426"/>
        <w:rPr>
          <w:lang w:val="fr-FR"/>
        </w:rPr>
      </w:pPr>
      <w:r w:rsidRPr="0099734C">
        <w:rPr>
          <w:lang w:val="fr-FR"/>
        </w:rPr>
        <w:t>Le Gouvernement</w:t>
      </w:r>
      <w:r w:rsidR="00393F0D" w:rsidRPr="0099734C">
        <w:rPr>
          <w:lang w:val="fr-FR"/>
        </w:rPr>
        <w:t xml:space="preserve"> rappelle à cet égard que le jugement de première</w:t>
      </w:r>
      <w:r w:rsidR="00393F0D">
        <w:rPr>
          <w:lang w:val="fr-FR"/>
        </w:rPr>
        <w:t xml:space="preserve"> instance a prononcé la condamnation au pénal </w:t>
      </w:r>
      <w:r w:rsidR="00C70422">
        <w:rPr>
          <w:lang w:val="fr-FR"/>
        </w:rPr>
        <w:t>de plusieurs accusés</w:t>
      </w:r>
      <w:r w:rsidR="00C70422" w:rsidRPr="00393F0D">
        <w:rPr>
          <w:lang w:val="fr-FR"/>
        </w:rPr>
        <w:t xml:space="preserve"> </w:t>
      </w:r>
      <w:r w:rsidR="007F3AC0">
        <w:rPr>
          <w:lang w:val="fr-FR"/>
        </w:rPr>
        <w:t>et qu</w:t>
      </w:r>
      <w:r w:rsidR="00603708">
        <w:rPr>
          <w:lang w:val="fr-FR"/>
        </w:rPr>
        <w:t>’</w:t>
      </w:r>
      <w:r w:rsidR="007F3AC0">
        <w:rPr>
          <w:lang w:val="fr-FR"/>
        </w:rPr>
        <w:t xml:space="preserve">il a en outre </w:t>
      </w:r>
      <w:r w:rsidR="00393F0D">
        <w:rPr>
          <w:lang w:val="fr-FR"/>
        </w:rPr>
        <w:t>reconn</w:t>
      </w:r>
      <w:r w:rsidR="007F3AC0">
        <w:rPr>
          <w:lang w:val="fr-FR"/>
        </w:rPr>
        <w:t>u</w:t>
      </w:r>
      <w:r w:rsidR="00393F0D">
        <w:rPr>
          <w:lang w:val="fr-FR"/>
        </w:rPr>
        <w:t xml:space="preserve"> le droit des parties civiles </w:t>
      </w:r>
      <w:r w:rsidR="00C70422">
        <w:rPr>
          <w:lang w:val="fr-FR"/>
        </w:rPr>
        <w:t xml:space="preserve">à un dédommagement </w:t>
      </w:r>
      <w:r w:rsidR="0099734C">
        <w:rPr>
          <w:lang w:val="fr-FR"/>
        </w:rPr>
        <w:t>et ordonné le versement d</w:t>
      </w:r>
      <w:r w:rsidR="00603708">
        <w:rPr>
          <w:lang w:val="fr-FR"/>
        </w:rPr>
        <w:t>’</w:t>
      </w:r>
      <w:r w:rsidR="00393F0D">
        <w:rPr>
          <w:lang w:val="fr-FR"/>
        </w:rPr>
        <w:t xml:space="preserve">une provision à ce titre. </w:t>
      </w:r>
      <w:r w:rsidR="00DB4117">
        <w:rPr>
          <w:lang w:val="fr-FR"/>
        </w:rPr>
        <w:t>Il indique également que l</w:t>
      </w:r>
      <w:r w:rsidR="00603708">
        <w:rPr>
          <w:lang w:val="fr-FR"/>
        </w:rPr>
        <w:t>’</w:t>
      </w:r>
      <w:r w:rsidR="00393F0D">
        <w:rPr>
          <w:lang w:val="fr-FR"/>
        </w:rPr>
        <w:t xml:space="preserve">arrêt </w:t>
      </w:r>
      <w:r w:rsidR="00393F0D" w:rsidRPr="0099734C">
        <w:rPr>
          <w:lang w:val="fr-FR"/>
        </w:rPr>
        <w:t>d</w:t>
      </w:r>
      <w:r w:rsidR="00603708">
        <w:rPr>
          <w:lang w:val="fr-FR"/>
        </w:rPr>
        <w:t>’</w:t>
      </w:r>
      <w:r w:rsidR="00393F0D" w:rsidRPr="0099734C">
        <w:rPr>
          <w:lang w:val="fr-FR"/>
        </w:rPr>
        <w:t>appel</w:t>
      </w:r>
      <w:r w:rsidR="00894EFC" w:rsidRPr="0099734C">
        <w:rPr>
          <w:lang w:val="fr-FR"/>
        </w:rPr>
        <w:t xml:space="preserve">, qui a </w:t>
      </w:r>
      <w:r w:rsidR="0099734C" w:rsidRPr="0099734C">
        <w:rPr>
          <w:lang w:val="fr-FR"/>
        </w:rPr>
        <w:t xml:space="preserve">conclu à </w:t>
      </w:r>
      <w:r w:rsidR="00894EFC" w:rsidRPr="0099734C">
        <w:rPr>
          <w:lang w:val="fr-FR"/>
        </w:rPr>
        <w:t>la prescription de certains délits,</w:t>
      </w:r>
      <w:r w:rsidR="00393F0D" w:rsidRPr="0099734C">
        <w:rPr>
          <w:lang w:val="fr-FR"/>
        </w:rPr>
        <w:t xml:space="preserve"> a </w:t>
      </w:r>
      <w:r w:rsidR="00894EFC" w:rsidRPr="0099734C">
        <w:rPr>
          <w:lang w:val="fr-FR"/>
        </w:rPr>
        <w:t>néanmoins</w:t>
      </w:r>
      <w:r w:rsidR="00894EFC">
        <w:rPr>
          <w:lang w:val="fr-FR"/>
        </w:rPr>
        <w:t xml:space="preserve"> </w:t>
      </w:r>
      <w:r w:rsidR="00370159">
        <w:rPr>
          <w:lang w:val="fr-FR"/>
        </w:rPr>
        <w:t xml:space="preserve">aggravé </w:t>
      </w:r>
      <w:r w:rsidR="00393F0D">
        <w:rPr>
          <w:lang w:val="fr-FR"/>
        </w:rPr>
        <w:t>les sanctions à charge des accusés,</w:t>
      </w:r>
      <w:r w:rsidR="00894EFC">
        <w:rPr>
          <w:lang w:val="fr-FR"/>
        </w:rPr>
        <w:t xml:space="preserve"> condamnant une bonne partie de ceux qui avaient été acquittés en première instance et infligeant notamment </w:t>
      </w:r>
      <w:r w:rsidR="00BF737A">
        <w:rPr>
          <w:lang w:val="fr-FR"/>
        </w:rPr>
        <w:t xml:space="preserve">des peines allant </w:t>
      </w:r>
      <w:r w:rsidR="00894EFC">
        <w:rPr>
          <w:lang w:val="fr-FR"/>
        </w:rPr>
        <w:t>jusqu</w:t>
      </w:r>
      <w:r w:rsidR="00603708">
        <w:rPr>
          <w:lang w:val="fr-FR"/>
        </w:rPr>
        <w:t>’</w:t>
      </w:r>
      <w:r w:rsidR="00894EFC">
        <w:rPr>
          <w:lang w:val="fr-FR"/>
        </w:rPr>
        <w:t xml:space="preserve">à cinq années </w:t>
      </w:r>
      <w:r w:rsidR="003F7C69">
        <w:rPr>
          <w:lang w:val="fr-FR"/>
        </w:rPr>
        <w:t>d</w:t>
      </w:r>
      <w:r w:rsidR="00603708">
        <w:rPr>
          <w:lang w:val="fr-FR"/>
        </w:rPr>
        <w:t>’</w:t>
      </w:r>
      <w:r w:rsidR="003F7C69">
        <w:rPr>
          <w:lang w:val="fr-FR"/>
        </w:rPr>
        <w:t xml:space="preserve">emprisonnement </w:t>
      </w:r>
      <w:r w:rsidR="007F3AC0">
        <w:rPr>
          <w:lang w:val="fr-FR"/>
        </w:rPr>
        <w:t>du chef</w:t>
      </w:r>
      <w:r w:rsidR="00894EFC">
        <w:rPr>
          <w:lang w:val="fr-FR"/>
        </w:rPr>
        <w:t xml:space="preserve"> de lésions corporelles aggravées.</w:t>
      </w:r>
      <w:r w:rsidR="00CA5B14">
        <w:rPr>
          <w:lang w:val="fr-FR"/>
        </w:rPr>
        <w:t xml:space="preserve"> </w:t>
      </w:r>
      <w:r w:rsidR="0099734C">
        <w:rPr>
          <w:lang w:val="fr-FR"/>
        </w:rPr>
        <w:t>Il indique enfin que l</w:t>
      </w:r>
      <w:r w:rsidR="00CA5B14">
        <w:rPr>
          <w:lang w:val="fr-FR"/>
        </w:rPr>
        <w:t>a Cour de cassation</w:t>
      </w:r>
      <w:r w:rsidR="00CA5B14" w:rsidRPr="00DB4117">
        <w:rPr>
          <w:lang w:val="fr-FR"/>
        </w:rPr>
        <w:t xml:space="preserve"> a confirmé l</w:t>
      </w:r>
      <w:r w:rsidR="00603708">
        <w:rPr>
          <w:lang w:val="fr-FR"/>
        </w:rPr>
        <w:t>’</w:t>
      </w:r>
      <w:r w:rsidR="00CA5B14" w:rsidRPr="00DB4117">
        <w:rPr>
          <w:lang w:val="fr-FR"/>
        </w:rPr>
        <w:t>arrêt d</w:t>
      </w:r>
      <w:r w:rsidR="00603708">
        <w:rPr>
          <w:lang w:val="fr-FR"/>
        </w:rPr>
        <w:t>’</w:t>
      </w:r>
      <w:r w:rsidR="00CA5B14" w:rsidRPr="00DB4117">
        <w:rPr>
          <w:lang w:val="fr-FR"/>
        </w:rPr>
        <w:t xml:space="preserve">appel, </w:t>
      </w:r>
      <w:r w:rsidR="00BF737A">
        <w:rPr>
          <w:lang w:val="fr-FR"/>
        </w:rPr>
        <w:t>notamment</w:t>
      </w:r>
      <w:r w:rsidR="00CA5B14" w:rsidRPr="00DB4117">
        <w:rPr>
          <w:lang w:val="fr-FR"/>
        </w:rPr>
        <w:t xml:space="preserve"> l</w:t>
      </w:r>
      <w:r w:rsidR="00603708">
        <w:rPr>
          <w:lang w:val="fr-FR"/>
        </w:rPr>
        <w:t>’</w:t>
      </w:r>
      <w:r w:rsidR="00CA5B14" w:rsidRPr="00DB4117">
        <w:rPr>
          <w:lang w:val="fr-FR"/>
        </w:rPr>
        <w:t>obligation d</w:t>
      </w:r>
      <w:r w:rsidR="00603708">
        <w:rPr>
          <w:lang w:val="fr-FR"/>
        </w:rPr>
        <w:t>’</w:t>
      </w:r>
      <w:r w:rsidR="00CA5B14" w:rsidRPr="00DB4117">
        <w:rPr>
          <w:lang w:val="fr-FR"/>
        </w:rPr>
        <w:t>indemnis</w:t>
      </w:r>
      <w:r w:rsidR="00BF737A">
        <w:rPr>
          <w:lang w:val="fr-FR"/>
        </w:rPr>
        <w:t>er les</w:t>
      </w:r>
      <w:r w:rsidR="00CA5B14" w:rsidRPr="00DB4117">
        <w:rPr>
          <w:lang w:val="fr-FR"/>
        </w:rPr>
        <w:t xml:space="preserve"> parties civiles et </w:t>
      </w:r>
      <w:r w:rsidR="00BF737A">
        <w:rPr>
          <w:lang w:val="fr-FR"/>
        </w:rPr>
        <w:t>de leur</w:t>
      </w:r>
      <w:r w:rsidR="00CA5B14" w:rsidRPr="00DB4117">
        <w:rPr>
          <w:lang w:val="fr-FR"/>
        </w:rPr>
        <w:t xml:space="preserve"> rembours</w:t>
      </w:r>
      <w:r w:rsidR="00671006">
        <w:rPr>
          <w:lang w:val="fr-FR"/>
        </w:rPr>
        <w:t>e</w:t>
      </w:r>
      <w:r w:rsidR="00BF737A">
        <w:rPr>
          <w:lang w:val="fr-FR"/>
        </w:rPr>
        <w:t>r l</w:t>
      </w:r>
      <w:r w:rsidR="00CA5B14" w:rsidRPr="00DB4117">
        <w:rPr>
          <w:lang w:val="fr-FR"/>
        </w:rPr>
        <w:t>es frais et dépens</w:t>
      </w:r>
      <w:r w:rsidR="00687CF3" w:rsidRPr="00DB4117">
        <w:rPr>
          <w:lang w:val="fr-FR"/>
        </w:rPr>
        <w:t xml:space="preserve"> </w:t>
      </w:r>
      <w:r w:rsidR="00BF737A">
        <w:rPr>
          <w:lang w:val="fr-FR"/>
        </w:rPr>
        <w:t>qu</w:t>
      </w:r>
      <w:r w:rsidR="00603708">
        <w:rPr>
          <w:lang w:val="fr-FR"/>
        </w:rPr>
        <w:t>’</w:t>
      </w:r>
      <w:r w:rsidR="00BF737A">
        <w:rPr>
          <w:lang w:val="fr-FR"/>
        </w:rPr>
        <w:t>elles avaient exposés</w:t>
      </w:r>
      <w:r w:rsidR="00CA5B14" w:rsidRPr="00DB4117">
        <w:rPr>
          <w:lang w:val="fr-FR"/>
        </w:rPr>
        <w:t>.</w:t>
      </w:r>
    </w:p>
    <w:p w:rsidR="0032468C" w:rsidRPr="00DB4117" w:rsidRDefault="0099734C" w:rsidP="00334955">
      <w:pPr>
        <w:pStyle w:val="ECHRPara"/>
        <w:ind w:firstLine="426"/>
        <w:rPr>
          <w:lang w:val="fr-FR"/>
        </w:rPr>
      </w:pPr>
      <w:r>
        <w:rPr>
          <w:lang w:val="fr-FR"/>
        </w:rPr>
        <w:t xml:space="preserve">Il estime </w:t>
      </w:r>
      <w:r w:rsidR="00B9702B">
        <w:rPr>
          <w:lang w:val="fr-FR"/>
        </w:rPr>
        <w:t xml:space="preserve">dès lors </w:t>
      </w:r>
      <w:r>
        <w:rPr>
          <w:lang w:val="fr-FR"/>
        </w:rPr>
        <w:t>que</w:t>
      </w:r>
      <w:r w:rsidR="00B45140" w:rsidRPr="00DB4117">
        <w:rPr>
          <w:lang w:val="fr-FR"/>
        </w:rPr>
        <w:t xml:space="preserve"> la prescription de certains délits dont les responsables des événements de l</w:t>
      </w:r>
      <w:r w:rsidR="00603708">
        <w:rPr>
          <w:lang w:val="fr-FR"/>
        </w:rPr>
        <w:t>’</w:t>
      </w:r>
      <w:r w:rsidR="00B45140" w:rsidRPr="00DB4117">
        <w:rPr>
          <w:lang w:val="fr-FR"/>
        </w:rPr>
        <w:t>école Diaz-Pertini ont bénéficié n</w:t>
      </w:r>
      <w:r w:rsidR="00603708">
        <w:rPr>
          <w:lang w:val="fr-FR"/>
        </w:rPr>
        <w:t>’</w:t>
      </w:r>
      <w:r>
        <w:rPr>
          <w:lang w:val="fr-FR"/>
        </w:rPr>
        <w:t>a pas</w:t>
      </w:r>
      <w:r w:rsidR="00B45140" w:rsidRPr="00DB4117">
        <w:rPr>
          <w:lang w:val="fr-FR"/>
        </w:rPr>
        <w:t xml:space="preserve"> </w:t>
      </w:r>
      <w:r w:rsidR="00155EEC">
        <w:rPr>
          <w:lang w:val="fr-FR"/>
        </w:rPr>
        <w:t>nui à</w:t>
      </w:r>
      <w:r w:rsidRPr="00DB4117">
        <w:rPr>
          <w:lang w:val="fr-FR"/>
        </w:rPr>
        <w:t xml:space="preserve"> </w:t>
      </w:r>
      <w:r w:rsidR="00B45140" w:rsidRPr="00DB4117">
        <w:rPr>
          <w:lang w:val="fr-FR"/>
        </w:rPr>
        <w:t>l</w:t>
      </w:r>
      <w:r w:rsidR="00603708">
        <w:rPr>
          <w:lang w:val="fr-FR"/>
        </w:rPr>
        <w:t>’</w:t>
      </w:r>
      <w:r w:rsidR="00B45140" w:rsidRPr="00DB4117">
        <w:rPr>
          <w:lang w:val="fr-FR"/>
        </w:rPr>
        <w:t>effectivité de l</w:t>
      </w:r>
      <w:r w:rsidR="00603708">
        <w:rPr>
          <w:lang w:val="fr-FR"/>
        </w:rPr>
        <w:t>’</w:t>
      </w:r>
      <w:r w:rsidR="00B45140" w:rsidRPr="00DB4117">
        <w:rPr>
          <w:lang w:val="fr-FR"/>
        </w:rPr>
        <w:t xml:space="preserve">enquête </w:t>
      </w:r>
      <w:r w:rsidR="00351C35" w:rsidRPr="00DB4117">
        <w:rPr>
          <w:lang w:val="fr-FR"/>
        </w:rPr>
        <w:t>et ne</w:t>
      </w:r>
      <w:r w:rsidR="00B45140" w:rsidRPr="00DB4117">
        <w:rPr>
          <w:lang w:val="fr-FR"/>
        </w:rPr>
        <w:t xml:space="preserve"> préjuge</w:t>
      </w:r>
      <w:r>
        <w:rPr>
          <w:lang w:val="fr-FR"/>
        </w:rPr>
        <w:t>ait</w:t>
      </w:r>
      <w:r w:rsidR="00B45140" w:rsidRPr="00DB4117">
        <w:rPr>
          <w:lang w:val="fr-FR"/>
        </w:rPr>
        <w:t xml:space="preserve"> </w:t>
      </w:r>
      <w:r w:rsidR="00351C35" w:rsidRPr="00DB4117">
        <w:rPr>
          <w:lang w:val="fr-FR"/>
        </w:rPr>
        <w:t xml:space="preserve">en rien </w:t>
      </w:r>
      <w:r w:rsidR="00B9702B">
        <w:rPr>
          <w:lang w:val="fr-FR"/>
        </w:rPr>
        <w:t>du</w:t>
      </w:r>
      <w:r w:rsidR="00B9702B" w:rsidRPr="00DB4117">
        <w:rPr>
          <w:lang w:val="fr-FR"/>
        </w:rPr>
        <w:t xml:space="preserve"> </w:t>
      </w:r>
      <w:r w:rsidR="00B45140" w:rsidRPr="00DB4117">
        <w:rPr>
          <w:lang w:val="fr-FR"/>
        </w:rPr>
        <w:t>droit du requérant d</w:t>
      </w:r>
      <w:r w:rsidR="00603708">
        <w:rPr>
          <w:lang w:val="fr-FR"/>
        </w:rPr>
        <w:t>’</w:t>
      </w:r>
      <w:r w:rsidR="00B45140" w:rsidRPr="00DB4117">
        <w:rPr>
          <w:lang w:val="fr-FR"/>
        </w:rPr>
        <w:t>obtenir la liquidation définitive des dommages-intérêts dans le cadre d</w:t>
      </w:r>
      <w:r w:rsidR="00603708">
        <w:rPr>
          <w:lang w:val="fr-FR"/>
        </w:rPr>
        <w:t>’</w:t>
      </w:r>
      <w:r w:rsidR="00B45140" w:rsidRPr="00DB4117">
        <w:rPr>
          <w:lang w:val="fr-FR"/>
        </w:rPr>
        <w:t>une procédure civile ultérieur</w:t>
      </w:r>
      <w:r w:rsidR="008B50DF" w:rsidRPr="00DB4117">
        <w:rPr>
          <w:lang w:val="fr-FR"/>
        </w:rPr>
        <w:t>e</w:t>
      </w:r>
      <w:r w:rsidR="00B45140" w:rsidRPr="00DB4117">
        <w:rPr>
          <w:lang w:val="fr-FR"/>
        </w:rPr>
        <w:t>.</w:t>
      </w:r>
    </w:p>
    <w:p w:rsidR="0032468C" w:rsidRDefault="00687CF3" w:rsidP="00334955">
      <w:pPr>
        <w:pStyle w:val="ECHRPara"/>
        <w:ind w:firstLine="426"/>
        <w:rPr>
          <w:lang w:val="fr-FR"/>
        </w:rPr>
      </w:pPr>
      <w:r w:rsidRPr="0099734C">
        <w:rPr>
          <w:lang w:val="fr-FR"/>
        </w:rPr>
        <w:fldChar w:fldCharType="begin"/>
      </w:r>
      <w:r w:rsidRPr="00DB4117">
        <w:rPr>
          <w:lang w:val="fr-FR"/>
        </w:rPr>
        <w:instrText xml:space="preserve"> SEQ level0 \*arabic </w:instrText>
      </w:r>
      <w:r w:rsidRPr="0099734C">
        <w:rPr>
          <w:lang w:val="fr-FR"/>
        </w:rPr>
        <w:fldChar w:fldCharType="separate"/>
      </w:r>
      <w:r w:rsidR="00B378F9">
        <w:rPr>
          <w:noProof/>
          <w:lang w:val="fr-FR"/>
        </w:rPr>
        <w:t>197</w:t>
      </w:r>
      <w:r w:rsidRPr="0099734C">
        <w:rPr>
          <w:lang w:val="fr-FR"/>
        </w:rPr>
        <w:fldChar w:fldCharType="end"/>
      </w:r>
      <w:r w:rsidRPr="00DB4117">
        <w:rPr>
          <w:lang w:val="fr-FR"/>
        </w:rPr>
        <w:t>.  </w:t>
      </w:r>
      <w:r w:rsidR="00BF737A">
        <w:rPr>
          <w:lang w:val="fr-FR"/>
        </w:rPr>
        <w:t>Par ailleurs, l</w:t>
      </w:r>
      <w:r w:rsidR="00D161F2" w:rsidRPr="00DB4117">
        <w:rPr>
          <w:lang w:val="fr-FR"/>
        </w:rPr>
        <w:t xml:space="preserve">e Gouvernement </w:t>
      </w:r>
      <w:r w:rsidR="0099734C">
        <w:rPr>
          <w:lang w:val="fr-FR"/>
        </w:rPr>
        <w:t>considère</w:t>
      </w:r>
      <w:r w:rsidR="00D161F2" w:rsidRPr="00DB4117">
        <w:rPr>
          <w:lang w:val="fr-FR"/>
        </w:rPr>
        <w:t xml:space="preserve"> que le grief du requérant</w:t>
      </w:r>
      <w:r w:rsidR="00D161F2">
        <w:rPr>
          <w:lang w:val="fr-FR"/>
        </w:rPr>
        <w:t xml:space="preserve"> porte, essentiellement, sur l</w:t>
      </w:r>
      <w:r w:rsidR="00603708">
        <w:rPr>
          <w:lang w:val="fr-FR"/>
        </w:rPr>
        <w:t>’</w:t>
      </w:r>
      <w:r w:rsidR="00D161F2">
        <w:rPr>
          <w:lang w:val="fr-FR"/>
        </w:rPr>
        <w:t>absence du délit de « torture » dans l</w:t>
      </w:r>
      <w:r w:rsidR="00603708">
        <w:rPr>
          <w:lang w:val="fr-FR"/>
        </w:rPr>
        <w:t>’</w:t>
      </w:r>
      <w:r w:rsidR="00D161F2">
        <w:rPr>
          <w:lang w:val="fr-FR"/>
        </w:rPr>
        <w:t>ordre juridique italien.</w:t>
      </w:r>
    </w:p>
    <w:p w:rsidR="000C4E26" w:rsidRDefault="00D161F2" w:rsidP="00334955">
      <w:pPr>
        <w:pStyle w:val="ECHRPara"/>
        <w:ind w:firstLine="426"/>
        <w:rPr>
          <w:lang w:val="fr-FR"/>
        </w:rPr>
      </w:pPr>
      <w:r>
        <w:rPr>
          <w:lang w:val="fr-FR"/>
        </w:rPr>
        <w:t xml:space="preserve">À cet égard, </w:t>
      </w:r>
      <w:r w:rsidR="0099734C">
        <w:rPr>
          <w:lang w:val="fr-FR"/>
        </w:rPr>
        <w:t>il expose</w:t>
      </w:r>
      <w:r>
        <w:rPr>
          <w:lang w:val="fr-FR"/>
        </w:rPr>
        <w:t xml:space="preserve"> que l</w:t>
      </w:r>
      <w:r w:rsidR="00603708">
        <w:rPr>
          <w:lang w:val="fr-FR"/>
        </w:rPr>
        <w:t>’</w:t>
      </w:r>
      <w:r>
        <w:rPr>
          <w:lang w:val="fr-FR"/>
        </w:rPr>
        <w:t>article 3 de la Convention n</w:t>
      </w:r>
      <w:r w:rsidR="00603708">
        <w:rPr>
          <w:lang w:val="fr-FR"/>
        </w:rPr>
        <w:t>’</w:t>
      </w:r>
      <w:r>
        <w:rPr>
          <w:lang w:val="fr-FR"/>
        </w:rPr>
        <w:t>oblige pas les Haut</w:t>
      </w:r>
      <w:r w:rsidR="009C0186">
        <w:rPr>
          <w:lang w:val="fr-FR"/>
        </w:rPr>
        <w:t>e</w:t>
      </w:r>
      <w:r>
        <w:rPr>
          <w:lang w:val="fr-FR"/>
        </w:rPr>
        <w:t xml:space="preserve">s Parties contractantes à </w:t>
      </w:r>
      <w:r w:rsidR="000C4E26">
        <w:rPr>
          <w:lang w:val="fr-FR"/>
        </w:rPr>
        <w:t>prévoir</w:t>
      </w:r>
      <w:r>
        <w:rPr>
          <w:lang w:val="fr-FR"/>
        </w:rPr>
        <w:t xml:space="preserve">, dans leur système juridique, </w:t>
      </w:r>
      <w:r w:rsidR="000C4E26">
        <w:rPr>
          <w:lang w:val="fr-FR"/>
        </w:rPr>
        <w:t xml:space="preserve">un délit </w:t>
      </w:r>
      <w:r w:rsidR="000C4E26">
        <w:rPr>
          <w:i/>
          <w:lang w:val="fr-FR"/>
        </w:rPr>
        <w:t>ad hoc</w:t>
      </w:r>
      <w:r w:rsidR="000C4E26">
        <w:rPr>
          <w:lang w:val="fr-FR"/>
        </w:rPr>
        <w:t xml:space="preserve"> et que, dès lors, elles s</w:t>
      </w:r>
      <w:r w:rsidR="0099734C">
        <w:rPr>
          <w:lang w:val="fr-FR"/>
        </w:rPr>
        <w:t>ont</w:t>
      </w:r>
      <w:r w:rsidR="000C4E26">
        <w:rPr>
          <w:lang w:val="fr-FR"/>
        </w:rPr>
        <w:t xml:space="preserve"> libres de poursuivre les mauvais traitements interdits par l</w:t>
      </w:r>
      <w:r w:rsidR="00603708">
        <w:rPr>
          <w:lang w:val="fr-FR"/>
        </w:rPr>
        <w:t>’</w:t>
      </w:r>
      <w:r w:rsidR="000C4E26">
        <w:rPr>
          <w:lang w:val="fr-FR"/>
        </w:rPr>
        <w:t xml:space="preserve">article 3 </w:t>
      </w:r>
      <w:r w:rsidR="0068235D">
        <w:rPr>
          <w:lang w:val="fr-FR"/>
        </w:rPr>
        <w:t>au moyen</w:t>
      </w:r>
      <w:r w:rsidR="00ED5FE7">
        <w:rPr>
          <w:lang w:val="fr-FR"/>
        </w:rPr>
        <w:t xml:space="preserve"> de leur législation,</w:t>
      </w:r>
      <w:r w:rsidR="000C4E26">
        <w:rPr>
          <w:lang w:val="fr-FR"/>
        </w:rPr>
        <w:t xml:space="preserve"> </w:t>
      </w:r>
      <w:r w:rsidR="00ED5FE7">
        <w:rPr>
          <w:lang w:val="fr-FR"/>
        </w:rPr>
        <w:t xml:space="preserve">la nature et </w:t>
      </w:r>
      <w:r w:rsidR="00ED5FE7" w:rsidRPr="008D3288">
        <w:rPr>
          <w:lang w:val="fr-FR"/>
        </w:rPr>
        <w:t xml:space="preserve">la mesure des peines </w:t>
      </w:r>
      <w:r w:rsidR="00B45140" w:rsidRPr="008D3288">
        <w:rPr>
          <w:lang w:val="fr-FR"/>
        </w:rPr>
        <w:t>n</w:t>
      </w:r>
      <w:r w:rsidR="00603708">
        <w:rPr>
          <w:lang w:val="fr-FR"/>
        </w:rPr>
        <w:t>’</w:t>
      </w:r>
      <w:r w:rsidR="00B45140" w:rsidRPr="008D3288">
        <w:rPr>
          <w:lang w:val="fr-FR"/>
        </w:rPr>
        <w:t>étant</w:t>
      </w:r>
      <w:r w:rsidR="0099734C" w:rsidRPr="008D3288">
        <w:rPr>
          <w:lang w:val="fr-FR"/>
        </w:rPr>
        <w:t xml:space="preserve">, selon lui, </w:t>
      </w:r>
      <w:r w:rsidR="00B45140" w:rsidRPr="008D3288">
        <w:rPr>
          <w:lang w:val="fr-FR"/>
        </w:rPr>
        <w:t>non plus fixé</w:t>
      </w:r>
      <w:r w:rsidR="00E75DA4" w:rsidRPr="008D3288">
        <w:rPr>
          <w:lang w:val="fr-FR"/>
        </w:rPr>
        <w:t>es</w:t>
      </w:r>
      <w:r w:rsidR="00B45140" w:rsidRPr="008D3288">
        <w:rPr>
          <w:lang w:val="fr-FR"/>
        </w:rPr>
        <w:t xml:space="preserve"> par des normes</w:t>
      </w:r>
      <w:r w:rsidR="00B45140">
        <w:rPr>
          <w:lang w:val="fr-FR"/>
        </w:rPr>
        <w:t xml:space="preserve"> internationales</w:t>
      </w:r>
      <w:r w:rsidR="007432A5">
        <w:rPr>
          <w:lang w:val="fr-FR"/>
        </w:rPr>
        <w:t>,</w:t>
      </w:r>
      <w:r w:rsidR="00B45140">
        <w:rPr>
          <w:lang w:val="fr-FR"/>
        </w:rPr>
        <w:t xml:space="preserve"> </w:t>
      </w:r>
      <w:r w:rsidR="007432A5">
        <w:rPr>
          <w:lang w:val="fr-FR"/>
        </w:rPr>
        <w:t>mais</w:t>
      </w:r>
      <w:r w:rsidR="00B45140">
        <w:rPr>
          <w:lang w:val="fr-FR"/>
        </w:rPr>
        <w:t xml:space="preserve"> </w:t>
      </w:r>
      <w:r w:rsidR="007432A5">
        <w:rPr>
          <w:lang w:val="fr-FR"/>
        </w:rPr>
        <w:t>étant laissées à</w:t>
      </w:r>
      <w:r w:rsidR="00B45140">
        <w:rPr>
          <w:lang w:val="fr-FR"/>
        </w:rPr>
        <w:t xml:space="preserve"> l</w:t>
      </w:r>
      <w:r w:rsidR="00603708">
        <w:rPr>
          <w:lang w:val="fr-FR"/>
        </w:rPr>
        <w:t>’</w:t>
      </w:r>
      <w:r w:rsidR="00B45140">
        <w:rPr>
          <w:lang w:val="fr-FR"/>
        </w:rPr>
        <w:t xml:space="preserve">appréciation </w:t>
      </w:r>
      <w:r w:rsidR="00E75DA4">
        <w:rPr>
          <w:lang w:val="fr-FR"/>
        </w:rPr>
        <w:t xml:space="preserve">souveraine </w:t>
      </w:r>
      <w:r w:rsidR="00B45140">
        <w:rPr>
          <w:lang w:val="fr-FR"/>
        </w:rPr>
        <w:t>des autorités nationales.</w:t>
      </w:r>
    </w:p>
    <w:p w:rsidR="0032468C" w:rsidRDefault="007B6490" w:rsidP="00334955">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198</w:t>
      </w:r>
      <w:r>
        <w:rPr>
          <w:lang w:val="fr-FR"/>
        </w:rPr>
        <w:fldChar w:fldCharType="end"/>
      </w:r>
      <w:r>
        <w:rPr>
          <w:lang w:val="fr-FR"/>
        </w:rPr>
        <w:t>.  </w:t>
      </w:r>
      <w:r w:rsidR="0099734C">
        <w:rPr>
          <w:lang w:val="fr-FR"/>
        </w:rPr>
        <w:t>En l</w:t>
      </w:r>
      <w:r w:rsidR="00603708">
        <w:rPr>
          <w:lang w:val="fr-FR"/>
        </w:rPr>
        <w:t>’</w:t>
      </w:r>
      <w:r w:rsidR="000C4E26">
        <w:rPr>
          <w:lang w:val="fr-FR"/>
        </w:rPr>
        <w:t xml:space="preserve">espèce, </w:t>
      </w:r>
      <w:r w:rsidR="0099734C">
        <w:rPr>
          <w:lang w:val="fr-FR"/>
        </w:rPr>
        <w:t>le Gouvernement est d</w:t>
      </w:r>
      <w:r w:rsidR="00603708">
        <w:rPr>
          <w:lang w:val="fr-FR"/>
        </w:rPr>
        <w:t>’</w:t>
      </w:r>
      <w:r w:rsidR="0099734C">
        <w:rPr>
          <w:lang w:val="fr-FR"/>
        </w:rPr>
        <w:t xml:space="preserve">avis que </w:t>
      </w:r>
      <w:r w:rsidR="000C4E26">
        <w:rPr>
          <w:lang w:val="fr-FR"/>
        </w:rPr>
        <w:t>les responsables des mauvais traitements dont se plaint le requérant ont bien été poursuivi</w:t>
      </w:r>
      <w:r w:rsidR="0099734C">
        <w:rPr>
          <w:lang w:val="fr-FR"/>
        </w:rPr>
        <w:t>s</w:t>
      </w:r>
      <w:r w:rsidR="000C4E26">
        <w:rPr>
          <w:lang w:val="fr-FR"/>
        </w:rPr>
        <w:t xml:space="preserve"> au titre des divers délits ins</w:t>
      </w:r>
      <w:r w:rsidR="00ED5FE7">
        <w:rPr>
          <w:lang w:val="fr-FR"/>
        </w:rPr>
        <w:t xml:space="preserve">crits dans la législation pénale </w:t>
      </w:r>
      <w:r w:rsidR="00FE4FB4">
        <w:rPr>
          <w:lang w:val="fr-FR"/>
        </w:rPr>
        <w:t xml:space="preserve">italienne </w:t>
      </w:r>
      <w:r w:rsidR="00ED5FE7">
        <w:rPr>
          <w:lang w:val="fr-FR"/>
        </w:rPr>
        <w:t>(notamment le délit de lésions personnelles aggravées</w:t>
      </w:r>
      <w:r w:rsidR="0099734C">
        <w:rPr>
          <w:lang w:val="fr-FR"/>
        </w:rPr>
        <w:t>) (</w:t>
      </w:r>
      <w:r w:rsidRPr="00AC0DAF">
        <w:rPr>
          <w:lang w:val="fr-FR"/>
        </w:rPr>
        <w:t>paragraphes 48 et 91 ci-dessus</w:t>
      </w:r>
      <w:r w:rsidR="00ED5FE7" w:rsidRPr="00370159">
        <w:rPr>
          <w:lang w:val="fr-FR"/>
        </w:rPr>
        <w:t>)</w:t>
      </w:r>
      <w:r w:rsidR="00ED5FE7">
        <w:rPr>
          <w:lang w:val="fr-FR"/>
        </w:rPr>
        <w:t xml:space="preserve">, </w:t>
      </w:r>
      <w:r w:rsidR="00AE0B20">
        <w:rPr>
          <w:lang w:val="fr-FR"/>
        </w:rPr>
        <w:t>ce qui</w:t>
      </w:r>
      <w:r w:rsidR="00571519">
        <w:rPr>
          <w:lang w:val="fr-FR"/>
        </w:rPr>
        <w:t>, selon lui, n</w:t>
      </w:r>
      <w:r w:rsidR="00603708">
        <w:rPr>
          <w:lang w:val="fr-FR"/>
        </w:rPr>
        <w:t>’</w:t>
      </w:r>
      <w:r w:rsidR="00571519">
        <w:rPr>
          <w:lang w:val="fr-FR"/>
        </w:rPr>
        <w:t>a</w:t>
      </w:r>
      <w:r w:rsidR="00AE0B20">
        <w:rPr>
          <w:lang w:val="fr-FR"/>
        </w:rPr>
        <w:t xml:space="preserve"> pas empêché les juridictions </w:t>
      </w:r>
      <w:r w:rsidR="00FE4FB4">
        <w:rPr>
          <w:lang w:val="fr-FR"/>
        </w:rPr>
        <w:t>nationales</w:t>
      </w:r>
      <w:r w:rsidR="00ED5FE7">
        <w:rPr>
          <w:lang w:val="fr-FR"/>
        </w:rPr>
        <w:t xml:space="preserve"> </w:t>
      </w:r>
      <w:r w:rsidR="00BC185E">
        <w:rPr>
          <w:lang w:val="fr-FR"/>
        </w:rPr>
        <w:t>d</w:t>
      </w:r>
      <w:r w:rsidR="00603708">
        <w:rPr>
          <w:lang w:val="fr-FR"/>
        </w:rPr>
        <w:t>’</w:t>
      </w:r>
      <w:r w:rsidR="00D80229">
        <w:rPr>
          <w:lang w:val="fr-FR"/>
        </w:rPr>
        <w:t>évaluer</w:t>
      </w:r>
      <w:r w:rsidR="00AE0B20">
        <w:rPr>
          <w:lang w:val="fr-FR"/>
        </w:rPr>
        <w:t xml:space="preserve"> les mauvais traitements en question dans le cadre des graves év</w:t>
      </w:r>
      <w:r w:rsidR="00650C81">
        <w:rPr>
          <w:lang w:val="fr-FR"/>
        </w:rPr>
        <w:t>é</w:t>
      </w:r>
      <w:r w:rsidR="00AE0B20">
        <w:rPr>
          <w:lang w:val="fr-FR"/>
        </w:rPr>
        <w:t>nements de l</w:t>
      </w:r>
      <w:r w:rsidR="00603708">
        <w:rPr>
          <w:lang w:val="fr-FR"/>
        </w:rPr>
        <w:t>’</w:t>
      </w:r>
      <w:r w:rsidR="00AE0B20">
        <w:rPr>
          <w:lang w:val="fr-FR"/>
        </w:rPr>
        <w:t>école Diaz-Pertini</w:t>
      </w:r>
      <w:r w:rsidR="00ED5FE7">
        <w:rPr>
          <w:lang w:val="fr-FR"/>
        </w:rPr>
        <w:t>.</w:t>
      </w:r>
    </w:p>
    <w:p w:rsidR="0032468C" w:rsidRDefault="00ED5FE7" w:rsidP="00334955">
      <w:pPr>
        <w:pStyle w:val="ECHRPara"/>
        <w:ind w:firstLine="426"/>
        <w:rPr>
          <w:lang w:val="fr-FR"/>
        </w:rPr>
      </w:pPr>
      <w:r>
        <w:rPr>
          <w:lang w:val="fr-FR"/>
        </w:rPr>
        <w:t>D</w:t>
      </w:r>
      <w:r w:rsidR="000C4E26">
        <w:rPr>
          <w:lang w:val="fr-FR"/>
        </w:rPr>
        <w:t>e surcro</w:t>
      </w:r>
      <w:r w:rsidR="000C4E26">
        <w:rPr>
          <w:rFonts w:cstheme="minorHAnsi"/>
          <w:lang w:val="fr-FR"/>
        </w:rPr>
        <w:t>î</w:t>
      </w:r>
      <w:r w:rsidR="000C4E26">
        <w:rPr>
          <w:lang w:val="fr-FR"/>
        </w:rPr>
        <w:t xml:space="preserve">t, les juridictions </w:t>
      </w:r>
      <w:r w:rsidR="00FE4FB4">
        <w:rPr>
          <w:lang w:val="fr-FR"/>
        </w:rPr>
        <w:t xml:space="preserve">nationales </w:t>
      </w:r>
      <w:r w:rsidR="000C4E26">
        <w:rPr>
          <w:lang w:val="fr-FR"/>
        </w:rPr>
        <w:t>se s</w:t>
      </w:r>
      <w:r w:rsidR="0099734C">
        <w:rPr>
          <w:lang w:val="fr-FR"/>
        </w:rPr>
        <w:t>eraient</w:t>
      </w:r>
      <w:r w:rsidR="000C4E26">
        <w:rPr>
          <w:lang w:val="fr-FR"/>
        </w:rPr>
        <w:t xml:space="preserve"> appuyées également sur la définition de</w:t>
      </w:r>
      <w:r w:rsidR="0099734C">
        <w:rPr>
          <w:lang w:val="fr-FR"/>
        </w:rPr>
        <w:t xml:space="preserve"> la</w:t>
      </w:r>
      <w:r w:rsidR="000C4E26">
        <w:rPr>
          <w:lang w:val="fr-FR"/>
        </w:rPr>
        <w:t xml:space="preserve"> « torture » donnée par la Convention</w:t>
      </w:r>
      <w:r w:rsidR="0032468C">
        <w:rPr>
          <w:lang w:val="fr-FR"/>
        </w:rPr>
        <w:t xml:space="preserve"> </w:t>
      </w:r>
      <w:r w:rsidR="00B61FA3" w:rsidRPr="00D26D31">
        <w:rPr>
          <w:lang w:val="fr-FR"/>
        </w:rPr>
        <w:t xml:space="preserve">contre la torture et autres peines ou traitements cruels, inhumains ou dégradants du </w:t>
      </w:r>
      <w:r w:rsidR="00571519" w:rsidRPr="00D26D31">
        <w:rPr>
          <w:lang w:val="fr-FR"/>
        </w:rPr>
        <w:t>10</w:t>
      </w:r>
      <w:r w:rsidR="00571519">
        <w:rPr>
          <w:lang w:val="fr-FR"/>
        </w:rPr>
        <w:t> </w:t>
      </w:r>
      <w:r w:rsidR="00B61FA3" w:rsidRPr="00D26D31">
        <w:rPr>
          <w:lang w:val="fr-FR"/>
        </w:rPr>
        <w:t>décembre 1984</w:t>
      </w:r>
      <w:r w:rsidR="000C4E26">
        <w:rPr>
          <w:lang w:val="fr-FR"/>
        </w:rPr>
        <w:t xml:space="preserve"> </w:t>
      </w:r>
      <w:r w:rsidR="00B61FA3">
        <w:rPr>
          <w:lang w:val="fr-FR"/>
        </w:rPr>
        <w:t>(</w:t>
      </w:r>
      <w:r w:rsidR="00B61FA3" w:rsidRPr="00AC0DAF">
        <w:rPr>
          <w:lang w:val="fr-FR"/>
        </w:rPr>
        <w:t>paragraphe</w:t>
      </w:r>
      <w:r w:rsidR="00FE4FB4" w:rsidRPr="00AC0DAF">
        <w:rPr>
          <w:lang w:val="fr-FR"/>
        </w:rPr>
        <w:t>s 77 et</w:t>
      </w:r>
      <w:r w:rsidR="00B61FA3" w:rsidRPr="00AC0DAF">
        <w:rPr>
          <w:lang w:val="fr-FR"/>
        </w:rPr>
        <w:t xml:space="preserve"> </w:t>
      </w:r>
      <w:r w:rsidR="00BC185E" w:rsidRPr="00AC0DAF">
        <w:rPr>
          <w:lang w:val="fr-FR"/>
        </w:rPr>
        <w:t>109</w:t>
      </w:r>
      <w:r w:rsidR="00B61FA3" w:rsidRPr="00AC0DAF">
        <w:rPr>
          <w:lang w:val="fr-FR"/>
        </w:rPr>
        <w:t xml:space="preserve"> ci-dessus</w:t>
      </w:r>
      <w:r w:rsidR="00B61FA3">
        <w:rPr>
          <w:lang w:val="fr-FR"/>
        </w:rPr>
        <w:t>).</w:t>
      </w:r>
    </w:p>
    <w:p w:rsidR="0032468C" w:rsidRDefault="00ED5FE7" w:rsidP="00334955">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199</w:t>
      </w:r>
      <w:r>
        <w:rPr>
          <w:lang w:val="fr-FR"/>
        </w:rPr>
        <w:fldChar w:fldCharType="end"/>
      </w:r>
      <w:r>
        <w:rPr>
          <w:lang w:val="fr-FR"/>
        </w:rPr>
        <w:t>.  </w:t>
      </w:r>
      <w:r w:rsidR="00351C35">
        <w:rPr>
          <w:lang w:val="fr-FR"/>
        </w:rPr>
        <w:t>En tout état de cause, le Gouvernement informe la Cour</w:t>
      </w:r>
      <w:r w:rsidR="00370159">
        <w:rPr>
          <w:lang w:val="fr-FR"/>
        </w:rPr>
        <w:t xml:space="preserve"> </w:t>
      </w:r>
      <w:r w:rsidR="00351C35">
        <w:rPr>
          <w:lang w:val="fr-FR"/>
        </w:rPr>
        <w:t>que plusieurs proposition</w:t>
      </w:r>
      <w:r w:rsidR="00370159">
        <w:rPr>
          <w:lang w:val="fr-FR"/>
        </w:rPr>
        <w:t>s</w:t>
      </w:r>
      <w:r w:rsidR="00351C35">
        <w:rPr>
          <w:lang w:val="fr-FR"/>
        </w:rPr>
        <w:t xml:space="preserve"> de loi, visant </w:t>
      </w:r>
      <w:r w:rsidR="00F42EE5">
        <w:rPr>
          <w:lang w:val="fr-FR"/>
        </w:rPr>
        <w:t xml:space="preserve">à </w:t>
      </w:r>
      <w:r w:rsidR="00351C35">
        <w:rPr>
          <w:lang w:val="fr-FR"/>
        </w:rPr>
        <w:t>l</w:t>
      </w:r>
      <w:r w:rsidR="00603708">
        <w:rPr>
          <w:lang w:val="fr-FR"/>
        </w:rPr>
        <w:t>’</w:t>
      </w:r>
      <w:r w:rsidR="00351C35">
        <w:rPr>
          <w:lang w:val="fr-FR"/>
        </w:rPr>
        <w:t>introduction du délit de torture dans l</w:t>
      </w:r>
      <w:r w:rsidR="00603708">
        <w:rPr>
          <w:lang w:val="fr-FR"/>
        </w:rPr>
        <w:t>’</w:t>
      </w:r>
      <w:r w:rsidR="00351C35">
        <w:rPr>
          <w:lang w:val="fr-FR"/>
        </w:rPr>
        <w:t>ordre juridique italien</w:t>
      </w:r>
      <w:r w:rsidR="00F42EE5">
        <w:rPr>
          <w:lang w:val="fr-FR"/>
        </w:rPr>
        <w:t>,</w:t>
      </w:r>
      <w:r w:rsidR="00351C35">
        <w:rPr>
          <w:lang w:val="fr-FR"/>
        </w:rPr>
        <w:t xml:space="preserve"> sont à l</w:t>
      </w:r>
      <w:r w:rsidR="00603708">
        <w:rPr>
          <w:lang w:val="fr-FR"/>
        </w:rPr>
        <w:t>’</w:t>
      </w:r>
      <w:r w:rsidR="00351C35">
        <w:rPr>
          <w:lang w:val="fr-FR"/>
        </w:rPr>
        <w:t xml:space="preserve">examen </w:t>
      </w:r>
      <w:r w:rsidR="00F42EE5">
        <w:rPr>
          <w:lang w:val="fr-FR"/>
        </w:rPr>
        <w:t>par le</w:t>
      </w:r>
      <w:r w:rsidR="004A409A">
        <w:rPr>
          <w:lang w:val="fr-FR"/>
        </w:rPr>
        <w:t xml:space="preserve"> Parlement et </w:t>
      </w:r>
      <w:r w:rsidR="003728B7">
        <w:rPr>
          <w:lang w:val="fr-FR"/>
        </w:rPr>
        <w:t xml:space="preserve">que </w:t>
      </w:r>
      <w:r w:rsidR="004A409A">
        <w:rPr>
          <w:lang w:val="fr-FR"/>
        </w:rPr>
        <w:t>l</w:t>
      </w:r>
      <w:r w:rsidR="00786CD7">
        <w:rPr>
          <w:lang w:val="fr-FR"/>
        </w:rPr>
        <w:t>a</w:t>
      </w:r>
      <w:r w:rsidR="004A409A">
        <w:rPr>
          <w:lang w:val="fr-FR"/>
        </w:rPr>
        <w:t xml:space="preserve"> procédure d</w:t>
      </w:r>
      <w:r w:rsidR="00603708">
        <w:rPr>
          <w:lang w:val="fr-FR"/>
        </w:rPr>
        <w:t>’</w:t>
      </w:r>
      <w:r w:rsidR="004A409A">
        <w:rPr>
          <w:lang w:val="fr-FR"/>
        </w:rPr>
        <w:t xml:space="preserve">approbation </w:t>
      </w:r>
      <w:r w:rsidR="00786CD7">
        <w:rPr>
          <w:lang w:val="fr-FR"/>
        </w:rPr>
        <w:t xml:space="preserve">de ces propositions </w:t>
      </w:r>
      <w:r w:rsidR="00F42EE5">
        <w:rPr>
          <w:lang w:val="fr-FR"/>
        </w:rPr>
        <w:t>se trouve</w:t>
      </w:r>
      <w:r w:rsidR="004A409A">
        <w:rPr>
          <w:lang w:val="fr-FR"/>
        </w:rPr>
        <w:t xml:space="preserve"> </w:t>
      </w:r>
      <w:r w:rsidR="00F42EE5">
        <w:rPr>
          <w:lang w:val="fr-FR"/>
        </w:rPr>
        <w:t xml:space="preserve">déjà à </w:t>
      </w:r>
      <w:r w:rsidR="004A409A">
        <w:rPr>
          <w:lang w:val="fr-FR"/>
        </w:rPr>
        <w:t xml:space="preserve">un </w:t>
      </w:r>
      <w:r w:rsidR="00F42EE5">
        <w:rPr>
          <w:lang w:val="fr-FR"/>
        </w:rPr>
        <w:t>stade</w:t>
      </w:r>
      <w:r w:rsidR="004A409A">
        <w:rPr>
          <w:lang w:val="fr-FR"/>
        </w:rPr>
        <w:t xml:space="preserve"> avancé</w:t>
      </w:r>
      <w:r w:rsidR="006B0947">
        <w:rPr>
          <w:lang w:val="fr-FR"/>
        </w:rPr>
        <w:t xml:space="preserve"> (paragraphe 106 ci-dessus)</w:t>
      </w:r>
      <w:r w:rsidR="00D92679">
        <w:rPr>
          <w:lang w:val="fr-FR"/>
        </w:rPr>
        <w:t>.</w:t>
      </w:r>
    </w:p>
    <w:p w:rsidR="00603708" w:rsidRDefault="004A409A" w:rsidP="00334955">
      <w:pPr>
        <w:pStyle w:val="ECHRPara"/>
        <w:ind w:firstLine="426"/>
        <w:rPr>
          <w:lang w:val="fr-FR"/>
        </w:rPr>
      </w:pPr>
      <w:r>
        <w:rPr>
          <w:lang w:val="fr-FR"/>
        </w:rPr>
        <w:t xml:space="preserve">Il </w:t>
      </w:r>
      <w:r w:rsidR="002B48FD">
        <w:rPr>
          <w:lang w:val="fr-FR"/>
        </w:rPr>
        <w:t>précise</w:t>
      </w:r>
      <w:r>
        <w:rPr>
          <w:lang w:val="fr-FR"/>
        </w:rPr>
        <w:t xml:space="preserve"> que des peines allant jusqu</w:t>
      </w:r>
      <w:r w:rsidR="00603708">
        <w:rPr>
          <w:lang w:val="fr-FR"/>
        </w:rPr>
        <w:t>’</w:t>
      </w:r>
      <w:r>
        <w:rPr>
          <w:lang w:val="fr-FR"/>
        </w:rPr>
        <w:t xml:space="preserve">à douze ans de prison sont </w:t>
      </w:r>
      <w:r w:rsidR="00E75DA4">
        <w:rPr>
          <w:lang w:val="fr-FR"/>
        </w:rPr>
        <w:t xml:space="preserve">envisagées </w:t>
      </w:r>
      <w:r>
        <w:rPr>
          <w:lang w:val="fr-FR"/>
        </w:rPr>
        <w:t xml:space="preserve">en cas de mauvais traitements commis par des fonctionnaires ou des officiers </w:t>
      </w:r>
      <w:r w:rsidR="003728B7">
        <w:rPr>
          <w:lang w:val="fr-FR"/>
        </w:rPr>
        <w:t xml:space="preserve">publics et que la peine à perpétuité </w:t>
      </w:r>
      <w:r w:rsidR="00676AFE">
        <w:rPr>
          <w:lang w:val="fr-FR"/>
        </w:rPr>
        <w:t>p</w:t>
      </w:r>
      <w:r w:rsidR="00786CD7">
        <w:rPr>
          <w:lang w:val="fr-FR"/>
        </w:rPr>
        <w:t>eu</w:t>
      </w:r>
      <w:r w:rsidR="00676AFE">
        <w:rPr>
          <w:lang w:val="fr-FR"/>
        </w:rPr>
        <w:t>t</w:t>
      </w:r>
      <w:r w:rsidR="003728B7">
        <w:rPr>
          <w:lang w:val="fr-FR"/>
        </w:rPr>
        <w:t xml:space="preserve"> être infligé</w:t>
      </w:r>
      <w:r w:rsidR="00E75DA4">
        <w:rPr>
          <w:lang w:val="fr-FR"/>
        </w:rPr>
        <w:t>e</w:t>
      </w:r>
      <w:r w:rsidR="003728B7">
        <w:rPr>
          <w:lang w:val="fr-FR"/>
        </w:rPr>
        <w:t xml:space="preserve"> </w:t>
      </w:r>
      <w:r w:rsidR="002B48FD">
        <w:rPr>
          <w:lang w:val="fr-FR"/>
        </w:rPr>
        <w:t>lorsque</w:t>
      </w:r>
      <w:r w:rsidR="003728B7">
        <w:rPr>
          <w:lang w:val="fr-FR"/>
        </w:rPr>
        <w:t xml:space="preserve"> les mauvais traitements </w:t>
      </w:r>
      <w:r w:rsidR="002B48FD">
        <w:rPr>
          <w:lang w:val="fr-FR"/>
        </w:rPr>
        <w:t xml:space="preserve">en question ont causé </w:t>
      </w:r>
      <w:r w:rsidR="00571519">
        <w:rPr>
          <w:lang w:val="fr-FR"/>
        </w:rPr>
        <w:t>le décès</w:t>
      </w:r>
      <w:r w:rsidR="003728B7">
        <w:rPr>
          <w:lang w:val="fr-FR"/>
        </w:rPr>
        <w:t xml:space="preserve"> de la victime.</w:t>
      </w:r>
    </w:p>
    <w:p w:rsidR="00BC185E" w:rsidRDefault="00BC185E" w:rsidP="000B5793">
      <w:pPr>
        <w:pStyle w:val="ECHRHeading5"/>
        <w:rPr>
          <w:lang w:val="fr-FR"/>
        </w:rPr>
      </w:pPr>
      <w:r>
        <w:rPr>
          <w:lang w:val="fr-FR"/>
        </w:rPr>
        <w:t>iii.</w:t>
      </w:r>
      <w:r w:rsidR="003A0DA9">
        <w:rPr>
          <w:lang w:val="fr-FR"/>
        </w:rPr>
        <w:t>  </w:t>
      </w:r>
      <w:r>
        <w:rPr>
          <w:lang w:val="fr-FR"/>
        </w:rPr>
        <w:t>Les tiers intervenants</w:t>
      </w:r>
    </w:p>
    <w:p w:rsidR="004F511A" w:rsidRDefault="00B61FA3" w:rsidP="00334955">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200</w:t>
      </w:r>
      <w:r>
        <w:rPr>
          <w:lang w:val="fr-FR"/>
        </w:rPr>
        <w:fldChar w:fldCharType="end"/>
      </w:r>
      <w:r>
        <w:rPr>
          <w:lang w:val="fr-FR"/>
        </w:rPr>
        <w:t>.  </w:t>
      </w:r>
      <w:r w:rsidR="004A4F33">
        <w:rPr>
          <w:lang w:val="fr-FR"/>
        </w:rPr>
        <w:t xml:space="preserve">Les tiers </w:t>
      </w:r>
      <w:r w:rsidR="00850ABF">
        <w:rPr>
          <w:lang w:val="fr-FR"/>
        </w:rPr>
        <w:t xml:space="preserve">intervenants </w:t>
      </w:r>
      <w:r w:rsidR="00592275">
        <w:rPr>
          <w:lang w:val="fr-FR"/>
        </w:rPr>
        <w:t>exposent</w:t>
      </w:r>
      <w:r w:rsidR="00850ABF">
        <w:rPr>
          <w:lang w:val="fr-FR"/>
        </w:rPr>
        <w:t xml:space="preserve"> tout d</w:t>
      </w:r>
      <w:r w:rsidR="00603708">
        <w:rPr>
          <w:lang w:val="fr-FR"/>
        </w:rPr>
        <w:t>’</w:t>
      </w:r>
      <w:r w:rsidR="00850ABF">
        <w:rPr>
          <w:lang w:val="fr-FR"/>
        </w:rPr>
        <w:t>abord</w:t>
      </w:r>
      <w:r w:rsidR="00E92D84">
        <w:rPr>
          <w:lang w:val="fr-FR"/>
        </w:rPr>
        <w:t xml:space="preserve"> </w:t>
      </w:r>
      <w:r w:rsidR="004F511A">
        <w:rPr>
          <w:lang w:val="fr-FR"/>
        </w:rPr>
        <w:t>que, depuis presque vingt ans, le</w:t>
      </w:r>
      <w:r w:rsidR="00850ABF">
        <w:rPr>
          <w:lang w:val="fr-FR"/>
        </w:rPr>
        <w:t xml:space="preserve"> </w:t>
      </w:r>
      <w:r w:rsidR="00E92D84">
        <w:rPr>
          <w:lang w:val="fr-FR"/>
        </w:rPr>
        <w:t>Comité des droits de l</w:t>
      </w:r>
      <w:r w:rsidR="00603708">
        <w:rPr>
          <w:lang w:val="fr-FR"/>
        </w:rPr>
        <w:t>’</w:t>
      </w:r>
      <w:r w:rsidR="00E92D84">
        <w:rPr>
          <w:lang w:val="fr-FR"/>
        </w:rPr>
        <w:t xml:space="preserve">homme des Nations </w:t>
      </w:r>
      <w:r w:rsidR="00592275">
        <w:rPr>
          <w:lang w:val="fr-FR"/>
        </w:rPr>
        <w:t>u</w:t>
      </w:r>
      <w:r w:rsidR="00E92D84">
        <w:rPr>
          <w:lang w:val="fr-FR"/>
        </w:rPr>
        <w:t xml:space="preserve">nies, </w:t>
      </w:r>
      <w:r w:rsidR="004F511A">
        <w:rPr>
          <w:lang w:val="fr-FR"/>
        </w:rPr>
        <w:t>le</w:t>
      </w:r>
      <w:r w:rsidR="00E92D84">
        <w:rPr>
          <w:lang w:val="fr-FR"/>
        </w:rPr>
        <w:t xml:space="preserve"> CAT et </w:t>
      </w:r>
      <w:r w:rsidR="004F511A">
        <w:rPr>
          <w:lang w:val="fr-FR"/>
        </w:rPr>
        <w:t xml:space="preserve">le </w:t>
      </w:r>
      <w:r w:rsidR="00E92D84">
        <w:rPr>
          <w:lang w:val="fr-FR"/>
        </w:rPr>
        <w:t>CPT</w:t>
      </w:r>
      <w:r w:rsidR="00D12644">
        <w:rPr>
          <w:lang w:val="fr-FR"/>
        </w:rPr>
        <w:t xml:space="preserve"> </w:t>
      </w:r>
      <w:r w:rsidR="004F511A">
        <w:rPr>
          <w:lang w:val="fr-FR"/>
        </w:rPr>
        <w:t xml:space="preserve">ne cessent de </w:t>
      </w:r>
      <w:r w:rsidR="00850ABF">
        <w:rPr>
          <w:lang w:val="fr-FR"/>
        </w:rPr>
        <w:t>stigmatis</w:t>
      </w:r>
      <w:r w:rsidR="004F511A">
        <w:rPr>
          <w:lang w:val="fr-FR"/>
        </w:rPr>
        <w:t>er</w:t>
      </w:r>
      <w:r w:rsidR="009F303A">
        <w:rPr>
          <w:lang w:val="fr-FR"/>
        </w:rPr>
        <w:t>, dans leurs</w:t>
      </w:r>
      <w:r w:rsidR="00D12644">
        <w:rPr>
          <w:lang w:val="fr-FR"/>
        </w:rPr>
        <w:t xml:space="preserve"> domaines </w:t>
      </w:r>
      <w:r w:rsidR="009F303A">
        <w:rPr>
          <w:lang w:val="fr-FR"/>
        </w:rPr>
        <w:t xml:space="preserve">respectifs </w:t>
      </w:r>
      <w:r w:rsidR="00D12644">
        <w:rPr>
          <w:lang w:val="fr-FR"/>
        </w:rPr>
        <w:t>de compétence,</w:t>
      </w:r>
      <w:r w:rsidR="00850ABF">
        <w:rPr>
          <w:lang w:val="fr-FR"/>
        </w:rPr>
        <w:t xml:space="preserve"> </w:t>
      </w:r>
      <w:r w:rsidR="00E92D84">
        <w:rPr>
          <w:lang w:val="fr-FR"/>
        </w:rPr>
        <w:t>l</w:t>
      </w:r>
      <w:r w:rsidR="00603708">
        <w:rPr>
          <w:lang w:val="fr-FR"/>
        </w:rPr>
        <w:t>’</w:t>
      </w:r>
      <w:r w:rsidR="00E92D84">
        <w:rPr>
          <w:lang w:val="fr-FR"/>
        </w:rPr>
        <w:t xml:space="preserve">absence du </w:t>
      </w:r>
      <w:r w:rsidR="00676AFE">
        <w:rPr>
          <w:lang w:val="fr-FR"/>
        </w:rPr>
        <w:t xml:space="preserve">délit </w:t>
      </w:r>
      <w:r w:rsidR="00E92D84">
        <w:rPr>
          <w:lang w:val="fr-FR"/>
        </w:rPr>
        <w:t>de torture</w:t>
      </w:r>
      <w:r w:rsidR="00850ABF">
        <w:rPr>
          <w:lang w:val="fr-FR"/>
        </w:rPr>
        <w:t xml:space="preserve"> dans l</w:t>
      </w:r>
      <w:r w:rsidR="00603708">
        <w:rPr>
          <w:lang w:val="fr-FR"/>
        </w:rPr>
        <w:t>’</w:t>
      </w:r>
      <w:r w:rsidR="00850ABF">
        <w:rPr>
          <w:lang w:val="fr-FR"/>
        </w:rPr>
        <w:t>ordre juridique italien</w:t>
      </w:r>
      <w:r w:rsidR="004F511A">
        <w:rPr>
          <w:lang w:val="fr-FR"/>
        </w:rPr>
        <w:t xml:space="preserve"> et de recommander aux autorités l</w:t>
      </w:r>
      <w:r w:rsidR="00603708">
        <w:rPr>
          <w:lang w:val="fr-FR"/>
        </w:rPr>
        <w:t>’</w:t>
      </w:r>
      <w:r w:rsidR="004F511A">
        <w:rPr>
          <w:lang w:val="fr-FR"/>
        </w:rPr>
        <w:t xml:space="preserve">introduction </w:t>
      </w:r>
      <w:r w:rsidR="00D12644">
        <w:rPr>
          <w:lang w:val="fr-FR"/>
        </w:rPr>
        <w:t>d</w:t>
      </w:r>
      <w:r w:rsidR="00603708">
        <w:rPr>
          <w:lang w:val="fr-FR"/>
        </w:rPr>
        <w:t>’</w:t>
      </w:r>
      <w:r w:rsidR="00D12644">
        <w:rPr>
          <w:lang w:val="fr-FR"/>
        </w:rPr>
        <w:t xml:space="preserve">une disposition pénale </w:t>
      </w:r>
      <w:r w:rsidR="00D12644">
        <w:rPr>
          <w:i/>
          <w:lang w:val="fr-FR"/>
        </w:rPr>
        <w:t>ad hoc</w:t>
      </w:r>
      <w:r w:rsidR="008B50DF">
        <w:rPr>
          <w:lang w:val="fr-FR"/>
        </w:rPr>
        <w:t>,</w:t>
      </w:r>
      <w:r w:rsidR="00D12644">
        <w:rPr>
          <w:i/>
          <w:lang w:val="fr-FR"/>
        </w:rPr>
        <w:t xml:space="preserve"> </w:t>
      </w:r>
      <w:r w:rsidR="00D12644">
        <w:rPr>
          <w:lang w:val="fr-FR"/>
        </w:rPr>
        <w:t>prévoyant</w:t>
      </w:r>
      <w:r w:rsidR="008B50DF">
        <w:rPr>
          <w:lang w:val="fr-FR"/>
        </w:rPr>
        <w:t xml:space="preserve"> </w:t>
      </w:r>
      <w:r w:rsidR="00D12644">
        <w:rPr>
          <w:lang w:val="fr-FR"/>
        </w:rPr>
        <w:t xml:space="preserve">des peines </w:t>
      </w:r>
      <w:r w:rsidR="00592275">
        <w:rPr>
          <w:lang w:val="fr-FR"/>
        </w:rPr>
        <w:t xml:space="preserve">qui soient </w:t>
      </w:r>
      <w:r w:rsidR="00B641AF">
        <w:rPr>
          <w:lang w:val="fr-FR"/>
        </w:rPr>
        <w:t xml:space="preserve">non seulement </w:t>
      </w:r>
      <w:r w:rsidR="00BD3995">
        <w:rPr>
          <w:lang w:val="fr-FR"/>
        </w:rPr>
        <w:t xml:space="preserve">appropriées </w:t>
      </w:r>
      <w:r w:rsidR="00676AFE">
        <w:rPr>
          <w:lang w:val="fr-FR"/>
        </w:rPr>
        <w:t>à</w:t>
      </w:r>
      <w:r w:rsidR="00BD3995">
        <w:rPr>
          <w:lang w:val="fr-FR"/>
        </w:rPr>
        <w:t xml:space="preserve"> </w:t>
      </w:r>
      <w:r w:rsidR="00676AFE">
        <w:rPr>
          <w:lang w:val="fr-FR"/>
        </w:rPr>
        <w:t xml:space="preserve">la </w:t>
      </w:r>
      <w:r w:rsidR="00BD3995">
        <w:rPr>
          <w:lang w:val="fr-FR"/>
        </w:rPr>
        <w:t xml:space="preserve">gravité de </w:t>
      </w:r>
      <w:r w:rsidR="009F303A">
        <w:rPr>
          <w:lang w:val="fr-FR"/>
        </w:rPr>
        <w:t>ce crime</w:t>
      </w:r>
      <w:r w:rsidR="008B50DF">
        <w:rPr>
          <w:lang w:val="fr-FR"/>
        </w:rPr>
        <w:t xml:space="preserve"> </w:t>
      </w:r>
      <w:r w:rsidR="00B641AF">
        <w:rPr>
          <w:lang w:val="fr-FR"/>
        </w:rPr>
        <w:t>mais également</w:t>
      </w:r>
      <w:r w:rsidR="008B50DF">
        <w:rPr>
          <w:lang w:val="fr-FR"/>
        </w:rPr>
        <w:t xml:space="preserve"> effectivement exécutées</w:t>
      </w:r>
      <w:r w:rsidR="00BD3995">
        <w:rPr>
          <w:lang w:val="fr-FR"/>
        </w:rPr>
        <w:t xml:space="preserve"> (</w:t>
      </w:r>
      <w:r w:rsidR="00BD3995" w:rsidRPr="00AC0DAF">
        <w:rPr>
          <w:lang w:val="fr-FR"/>
        </w:rPr>
        <w:t xml:space="preserve">paragraphes </w:t>
      </w:r>
      <w:r w:rsidR="00BC185E" w:rsidRPr="00AC0DAF">
        <w:rPr>
          <w:lang w:val="fr-FR"/>
        </w:rPr>
        <w:t>112-116, 118, 120</w:t>
      </w:r>
      <w:r w:rsidR="00BD3995">
        <w:rPr>
          <w:lang w:val="fr-FR"/>
        </w:rPr>
        <w:t>).</w:t>
      </w:r>
    </w:p>
    <w:p w:rsidR="00E92D84" w:rsidRDefault="00F44836" w:rsidP="00334955">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201</w:t>
      </w:r>
      <w:r>
        <w:rPr>
          <w:lang w:val="fr-FR"/>
        </w:rPr>
        <w:fldChar w:fldCharType="end"/>
      </w:r>
      <w:r>
        <w:rPr>
          <w:lang w:val="fr-FR"/>
        </w:rPr>
        <w:t>.  </w:t>
      </w:r>
      <w:r w:rsidR="00F3445B">
        <w:rPr>
          <w:lang w:val="fr-FR"/>
        </w:rPr>
        <w:t>Ils indiquent que</w:t>
      </w:r>
      <w:r w:rsidR="00B641AF">
        <w:rPr>
          <w:lang w:val="fr-FR"/>
        </w:rPr>
        <w:t xml:space="preserve"> </w:t>
      </w:r>
      <w:r w:rsidR="00A66FAA">
        <w:rPr>
          <w:lang w:val="fr-FR"/>
        </w:rPr>
        <w:t xml:space="preserve">la « réaction type » </w:t>
      </w:r>
      <w:r w:rsidR="00F921AC">
        <w:rPr>
          <w:lang w:val="fr-FR"/>
        </w:rPr>
        <w:t>du Gouvernement</w:t>
      </w:r>
      <w:r w:rsidR="00B641AF">
        <w:rPr>
          <w:lang w:val="fr-FR"/>
        </w:rPr>
        <w:t xml:space="preserve"> à ces recommandations réitérées</w:t>
      </w:r>
      <w:r w:rsidR="001E6CFE">
        <w:rPr>
          <w:lang w:val="fr-FR"/>
        </w:rPr>
        <w:t xml:space="preserve">, </w:t>
      </w:r>
      <w:r w:rsidR="00F3445B">
        <w:rPr>
          <w:lang w:val="fr-FR"/>
        </w:rPr>
        <w:t>qu</w:t>
      </w:r>
      <w:r w:rsidR="00603708">
        <w:rPr>
          <w:lang w:val="fr-FR"/>
        </w:rPr>
        <w:t>’</w:t>
      </w:r>
      <w:r w:rsidR="00F3445B">
        <w:rPr>
          <w:lang w:val="fr-FR"/>
        </w:rPr>
        <w:t>il aurait manifestée</w:t>
      </w:r>
      <w:r w:rsidR="001E6CFE">
        <w:rPr>
          <w:lang w:val="fr-FR"/>
        </w:rPr>
        <w:t xml:space="preserve"> également dans la présente affaire,</w:t>
      </w:r>
      <w:r w:rsidR="00A66FAA">
        <w:rPr>
          <w:lang w:val="fr-FR"/>
        </w:rPr>
        <w:t xml:space="preserve"> p</w:t>
      </w:r>
      <w:r w:rsidR="00F3445B">
        <w:rPr>
          <w:lang w:val="fr-FR"/>
        </w:rPr>
        <w:t>eut</w:t>
      </w:r>
      <w:r w:rsidR="00A66FAA">
        <w:rPr>
          <w:lang w:val="fr-FR"/>
        </w:rPr>
        <w:t xml:space="preserve"> se résumer comme suit</w:t>
      </w:r>
      <w:r w:rsidR="00F921AC">
        <w:rPr>
          <w:lang w:val="fr-FR"/>
        </w:rPr>
        <w:t> : d</w:t>
      </w:r>
      <w:r w:rsidR="00603708">
        <w:rPr>
          <w:lang w:val="fr-FR"/>
        </w:rPr>
        <w:t>’</w:t>
      </w:r>
      <w:r w:rsidR="00F921AC">
        <w:rPr>
          <w:lang w:val="fr-FR"/>
        </w:rPr>
        <w:t xml:space="preserve">abord, </w:t>
      </w:r>
      <w:r w:rsidR="00772C9C">
        <w:rPr>
          <w:lang w:val="fr-FR"/>
        </w:rPr>
        <w:t>le Gouvernement</w:t>
      </w:r>
      <w:r w:rsidR="009F303A">
        <w:rPr>
          <w:lang w:val="fr-FR"/>
        </w:rPr>
        <w:t xml:space="preserve"> met</w:t>
      </w:r>
      <w:r w:rsidR="00772C9C">
        <w:rPr>
          <w:lang w:val="fr-FR"/>
        </w:rPr>
        <w:t>trait</w:t>
      </w:r>
      <w:r w:rsidR="009F303A">
        <w:rPr>
          <w:lang w:val="fr-FR"/>
        </w:rPr>
        <w:t xml:space="preserve"> </w:t>
      </w:r>
      <w:r w:rsidR="00F351A8">
        <w:rPr>
          <w:lang w:val="fr-FR"/>
        </w:rPr>
        <w:t xml:space="preserve">en </w:t>
      </w:r>
      <w:r w:rsidR="001E6CFE">
        <w:rPr>
          <w:lang w:val="fr-FR"/>
        </w:rPr>
        <w:t>avan</w:t>
      </w:r>
      <w:r w:rsidR="00772C9C">
        <w:rPr>
          <w:lang w:val="fr-FR"/>
        </w:rPr>
        <w:t>t</w:t>
      </w:r>
      <w:r w:rsidR="00F351A8">
        <w:rPr>
          <w:lang w:val="fr-FR"/>
        </w:rPr>
        <w:t xml:space="preserve"> les</w:t>
      </w:r>
      <w:r w:rsidR="00E92D84">
        <w:rPr>
          <w:lang w:val="fr-FR"/>
        </w:rPr>
        <w:t xml:space="preserve"> </w:t>
      </w:r>
      <w:r w:rsidR="008B50DF">
        <w:rPr>
          <w:lang w:val="fr-FR"/>
        </w:rPr>
        <w:t>divers projets de loi</w:t>
      </w:r>
      <w:r w:rsidR="00F351A8">
        <w:rPr>
          <w:lang w:val="fr-FR"/>
        </w:rPr>
        <w:t xml:space="preserve"> </w:t>
      </w:r>
      <w:r w:rsidR="008B50DF">
        <w:rPr>
          <w:lang w:val="fr-FR"/>
        </w:rPr>
        <w:t xml:space="preserve">visant </w:t>
      </w:r>
      <w:r w:rsidR="00772C9C">
        <w:rPr>
          <w:lang w:val="fr-FR"/>
        </w:rPr>
        <w:t xml:space="preserve">à </w:t>
      </w:r>
      <w:r w:rsidR="008B50DF">
        <w:rPr>
          <w:lang w:val="fr-FR"/>
        </w:rPr>
        <w:t>l</w:t>
      </w:r>
      <w:r w:rsidR="00603708">
        <w:rPr>
          <w:lang w:val="fr-FR"/>
        </w:rPr>
        <w:t>’</w:t>
      </w:r>
      <w:r w:rsidR="008B50DF">
        <w:rPr>
          <w:lang w:val="fr-FR"/>
        </w:rPr>
        <w:t>introduction du délit de torture</w:t>
      </w:r>
      <w:r w:rsidR="00F351A8">
        <w:rPr>
          <w:lang w:val="fr-FR"/>
        </w:rPr>
        <w:t xml:space="preserve"> qui se sont succédé</w:t>
      </w:r>
      <w:r w:rsidR="00F921AC">
        <w:rPr>
          <w:lang w:val="fr-FR"/>
        </w:rPr>
        <w:t xml:space="preserve"> au fil des années sans jamais aboutir ; ensuite,</w:t>
      </w:r>
      <w:r w:rsidR="00F351A8">
        <w:rPr>
          <w:lang w:val="fr-FR"/>
        </w:rPr>
        <w:t xml:space="preserve"> </w:t>
      </w:r>
      <w:r w:rsidR="009F303A">
        <w:rPr>
          <w:lang w:val="fr-FR"/>
        </w:rPr>
        <w:t xml:space="preserve">il </w:t>
      </w:r>
      <w:r w:rsidR="00B641AF">
        <w:rPr>
          <w:lang w:val="fr-FR"/>
        </w:rPr>
        <w:t>arguerait</w:t>
      </w:r>
      <w:r w:rsidR="00772C9C">
        <w:rPr>
          <w:lang w:val="fr-FR"/>
        </w:rPr>
        <w:t xml:space="preserve"> </w:t>
      </w:r>
      <w:r w:rsidR="00F351A8">
        <w:rPr>
          <w:lang w:val="fr-FR"/>
        </w:rPr>
        <w:t xml:space="preserve">que </w:t>
      </w:r>
      <w:r w:rsidR="00E92D84">
        <w:rPr>
          <w:lang w:val="fr-FR"/>
        </w:rPr>
        <w:t xml:space="preserve">les </w:t>
      </w:r>
      <w:r w:rsidR="000E7EB6">
        <w:rPr>
          <w:lang w:val="fr-FR"/>
        </w:rPr>
        <w:t xml:space="preserve">actes de torture, </w:t>
      </w:r>
      <w:r w:rsidR="00786CD7">
        <w:rPr>
          <w:lang w:val="fr-FR"/>
        </w:rPr>
        <w:t xml:space="preserve">tout comme </w:t>
      </w:r>
      <w:r w:rsidR="000E7EB6">
        <w:rPr>
          <w:lang w:val="fr-FR"/>
        </w:rPr>
        <w:t>les</w:t>
      </w:r>
      <w:r w:rsidR="00F921AC">
        <w:rPr>
          <w:lang w:val="fr-FR"/>
        </w:rPr>
        <w:t xml:space="preserve"> </w:t>
      </w:r>
      <w:r w:rsidR="00E92D84">
        <w:rPr>
          <w:lang w:val="fr-FR"/>
        </w:rPr>
        <w:t>traitements inhumains et dégradants, tombent sous le coup d</w:t>
      </w:r>
      <w:r w:rsidR="00603708">
        <w:rPr>
          <w:lang w:val="fr-FR"/>
        </w:rPr>
        <w:t>’</w:t>
      </w:r>
      <w:r w:rsidR="00E92D84">
        <w:rPr>
          <w:lang w:val="fr-FR"/>
        </w:rPr>
        <w:t xml:space="preserve">autres </w:t>
      </w:r>
      <w:r w:rsidR="00772C9C">
        <w:rPr>
          <w:lang w:val="fr-FR"/>
        </w:rPr>
        <w:t xml:space="preserve">dispositions </w:t>
      </w:r>
      <w:r w:rsidR="00E92D84">
        <w:rPr>
          <w:lang w:val="fr-FR"/>
        </w:rPr>
        <w:t xml:space="preserve">du </w:t>
      </w:r>
      <w:r w:rsidR="00772C9C">
        <w:rPr>
          <w:lang w:val="fr-FR"/>
        </w:rPr>
        <w:t>code pénal</w:t>
      </w:r>
      <w:r w:rsidR="00E92D84">
        <w:rPr>
          <w:lang w:val="fr-FR"/>
        </w:rPr>
        <w:t xml:space="preserve"> </w:t>
      </w:r>
      <w:r w:rsidR="00772C9C">
        <w:rPr>
          <w:lang w:val="fr-FR"/>
        </w:rPr>
        <w:t xml:space="preserve">(CP) </w:t>
      </w:r>
      <w:r w:rsidR="00E92D84">
        <w:rPr>
          <w:lang w:val="fr-FR"/>
        </w:rPr>
        <w:t>et</w:t>
      </w:r>
      <w:r w:rsidR="00772C9C">
        <w:rPr>
          <w:lang w:val="fr-FR"/>
        </w:rPr>
        <w:t xml:space="preserve"> qu</w:t>
      </w:r>
      <w:r w:rsidR="00603708">
        <w:rPr>
          <w:lang w:val="fr-FR"/>
        </w:rPr>
        <w:t>’</w:t>
      </w:r>
      <w:r w:rsidR="00772C9C">
        <w:rPr>
          <w:lang w:val="fr-FR"/>
        </w:rPr>
        <w:t>ils sont dès lors</w:t>
      </w:r>
      <w:r w:rsidR="00E92D84">
        <w:rPr>
          <w:lang w:val="fr-FR"/>
        </w:rPr>
        <w:t xml:space="preserve"> </w:t>
      </w:r>
      <w:r w:rsidR="00F921AC">
        <w:rPr>
          <w:lang w:val="fr-FR"/>
        </w:rPr>
        <w:t>déjà</w:t>
      </w:r>
      <w:r w:rsidR="00E92D84">
        <w:rPr>
          <w:lang w:val="fr-FR"/>
        </w:rPr>
        <w:t xml:space="preserve"> poursuivis et sanctionnés de manière adéquate</w:t>
      </w:r>
      <w:r w:rsidR="00F351A8">
        <w:rPr>
          <w:lang w:val="fr-FR"/>
        </w:rPr>
        <w:t xml:space="preserve"> dans l</w:t>
      </w:r>
      <w:r w:rsidR="00603708">
        <w:rPr>
          <w:lang w:val="fr-FR"/>
        </w:rPr>
        <w:t>’</w:t>
      </w:r>
      <w:r w:rsidR="00F351A8">
        <w:rPr>
          <w:lang w:val="fr-FR"/>
        </w:rPr>
        <w:t>ordre juridique italien</w:t>
      </w:r>
      <w:r w:rsidR="008B50DF">
        <w:rPr>
          <w:lang w:val="fr-FR"/>
        </w:rPr>
        <w:t xml:space="preserve"> (</w:t>
      </w:r>
      <w:r w:rsidR="008B50DF" w:rsidRPr="00AC0DAF">
        <w:rPr>
          <w:lang w:val="fr-FR"/>
        </w:rPr>
        <w:t xml:space="preserve">paragraphes </w:t>
      </w:r>
      <w:r w:rsidR="001E6CFE" w:rsidRPr="00AC0DAF">
        <w:rPr>
          <w:lang w:val="fr-FR"/>
        </w:rPr>
        <w:t xml:space="preserve">115, 117, 119 et </w:t>
      </w:r>
      <w:r w:rsidR="00F921AC" w:rsidRPr="00AC0DAF">
        <w:rPr>
          <w:lang w:val="fr-FR"/>
        </w:rPr>
        <w:t>1</w:t>
      </w:r>
      <w:r w:rsidR="001E6CFE" w:rsidRPr="00AC0DAF">
        <w:rPr>
          <w:lang w:val="fr-FR"/>
        </w:rPr>
        <w:t xml:space="preserve">21 </w:t>
      </w:r>
      <w:r w:rsidR="00E8262F" w:rsidRPr="00AC0DAF">
        <w:rPr>
          <w:lang w:val="fr-FR"/>
        </w:rPr>
        <w:t>ci-dessus</w:t>
      </w:r>
      <w:r w:rsidR="00F921AC" w:rsidRPr="00676AFE">
        <w:rPr>
          <w:lang w:val="fr-FR"/>
        </w:rPr>
        <w:t>)</w:t>
      </w:r>
      <w:r w:rsidR="00F921AC">
        <w:rPr>
          <w:lang w:val="fr-FR"/>
        </w:rPr>
        <w:t xml:space="preserve"> ; </w:t>
      </w:r>
      <w:r w:rsidR="000E7EB6">
        <w:rPr>
          <w:lang w:val="fr-FR"/>
        </w:rPr>
        <w:t xml:space="preserve">enfin, </w:t>
      </w:r>
      <w:r w:rsidR="009F303A">
        <w:rPr>
          <w:lang w:val="fr-FR"/>
        </w:rPr>
        <w:t xml:space="preserve">il </w:t>
      </w:r>
      <w:r w:rsidR="001E6CFE">
        <w:rPr>
          <w:lang w:val="fr-FR"/>
        </w:rPr>
        <w:t>soutien</w:t>
      </w:r>
      <w:r w:rsidR="00772C9C">
        <w:rPr>
          <w:lang w:val="fr-FR"/>
        </w:rPr>
        <w:t>drait</w:t>
      </w:r>
      <w:r w:rsidR="000E7EB6">
        <w:rPr>
          <w:lang w:val="fr-FR"/>
        </w:rPr>
        <w:t xml:space="preserve"> </w:t>
      </w:r>
      <w:r w:rsidR="001E6CFE">
        <w:rPr>
          <w:lang w:val="fr-FR"/>
        </w:rPr>
        <w:t>q</w:t>
      </w:r>
      <w:r w:rsidR="000E7EB6">
        <w:rPr>
          <w:lang w:val="fr-FR"/>
        </w:rPr>
        <w:t>u</w:t>
      </w:r>
      <w:r w:rsidR="00603708">
        <w:rPr>
          <w:lang w:val="fr-FR"/>
        </w:rPr>
        <w:t>’</w:t>
      </w:r>
      <w:r w:rsidR="000E7EB6">
        <w:rPr>
          <w:lang w:val="fr-FR"/>
        </w:rPr>
        <w:t>en réalité le délit de torture existe déjà dans l</w:t>
      </w:r>
      <w:r w:rsidR="00603708">
        <w:rPr>
          <w:lang w:val="fr-FR"/>
        </w:rPr>
        <w:t>’</w:t>
      </w:r>
      <w:r w:rsidR="000E7EB6">
        <w:rPr>
          <w:lang w:val="fr-FR"/>
        </w:rPr>
        <w:t>ordre juridique italien en vertu de l</w:t>
      </w:r>
      <w:r w:rsidR="00603708">
        <w:rPr>
          <w:lang w:val="fr-FR"/>
        </w:rPr>
        <w:t>’</w:t>
      </w:r>
      <w:r w:rsidR="000E7EB6">
        <w:rPr>
          <w:lang w:val="fr-FR"/>
        </w:rPr>
        <w:t>effet direct de la Convention contre la torture et autres peines ou traitements cruels, inhumai</w:t>
      </w:r>
      <w:r w:rsidR="00CE6B8E">
        <w:rPr>
          <w:lang w:val="fr-FR"/>
        </w:rPr>
        <w:t>ns ou dégradants</w:t>
      </w:r>
      <w:r w:rsidR="00E92D84">
        <w:rPr>
          <w:lang w:val="fr-FR"/>
        </w:rPr>
        <w:t>.</w:t>
      </w:r>
    </w:p>
    <w:p w:rsidR="0032468C" w:rsidRDefault="00F44836" w:rsidP="00FB3178">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202</w:t>
      </w:r>
      <w:r>
        <w:rPr>
          <w:lang w:val="fr-FR"/>
        </w:rPr>
        <w:fldChar w:fldCharType="end"/>
      </w:r>
      <w:r>
        <w:rPr>
          <w:lang w:val="fr-FR"/>
        </w:rPr>
        <w:t>.  </w:t>
      </w:r>
      <w:r w:rsidR="00676AFE">
        <w:rPr>
          <w:lang w:val="fr-FR"/>
        </w:rPr>
        <w:t>A</w:t>
      </w:r>
      <w:r w:rsidR="00CE6B8E">
        <w:rPr>
          <w:lang w:val="fr-FR"/>
        </w:rPr>
        <w:t xml:space="preserve">u-delà des contradictions logiques </w:t>
      </w:r>
      <w:r w:rsidR="00772C9C">
        <w:rPr>
          <w:lang w:val="fr-FR"/>
        </w:rPr>
        <w:t xml:space="preserve">apparaissant à leurs yeux </w:t>
      </w:r>
      <w:r w:rsidR="00CE6B8E">
        <w:rPr>
          <w:lang w:val="fr-FR"/>
        </w:rPr>
        <w:t xml:space="preserve">entre les trois </w:t>
      </w:r>
      <w:r w:rsidR="00772C9C">
        <w:rPr>
          <w:lang w:val="fr-FR"/>
        </w:rPr>
        <w:t xml:space="preserve">catégories </w:t>
      </w:r>
      <w:r w:rsidR="00CE6B8E">
        <w:rPr>
          <w:lang w:val="fr-FR"/>
        </w:rPr>
        <w:t>d</w:t>
      </w:r>
      <w:r w:rsidR="00603708">
        <w:rPr>
          <w:lang w:val="fr-FR"/>
        </w:rPr>
        <w:t>’</w:t>
      </w:r>
      <w:r w:rsidR="00CE6B8E">
        <w:rPr>
          <w:lang w:val="fr-FR"/>
        </w:rPr>
        <w:t xml:space="preserve">argumentations </w:t>
      </w:r>
      <w:r w:rsidR="009F303A">
        <w:rPr>
          <w:lang w:val="fr-FR"/>
        </w:rPr>
        <w:t xml:space="preserve">habituellement </w:t>
      </w:r>
      <w:r w:rsidR="00CE6B8E">
        <w:rPr>
          <w:lang w:val="fr-FR"/>
        </w:rPr>
        <w:t>exposées par le Gouvernement</w:t>
      </w:r>
      <w:r w:rsidR="00FB302A">
        <w:rPr>
          <w:lang w:val="fr-FR"/>
        </w:rPr>
        <w:t xml:space="preserve"> et des doutes sur l</w:t>
      </w:r>
      <w:r w:rsidR="00603708">
        <w:rPr>
          <w:lang w:val="fr-FR"/>
        </w:rPr>
        <w:t>’</w:t>
      </w:r>
      <w:r w:rsidR="00FB302A">
        <w:rPr>
          <w:lang w:val="fr-FR"/>
        </w:rPr>
        <w:t xml:space="preserve">applicabilité des dispositions pénales invoquées </w:t>
      </w:r>
      <w:r w:rsidR="00676AFE">
        <w:rPr>
          <w:lang w:val="fr-FR"/>
        </w:rPr>
        <w:t>au</w:t>
      </w:r>
      <w:r w:rsidR="00FB302A">
        <w:rPr>
          <w:lang w:val="fr-FR"/>
        </w:rPr>
        <w:t>x actes de</w:t>
      </w:r>
      <w:r w:rsidR="00544CDF">
        <w:rPr>
          <w:lang w:val="fr-FR"/>
        </w:rPr>
        <w:t xml:space="preserve"> torture morale</w:t>
      </w:r>
      <w:r w:rsidR="00CE6B8E">
        <w:rPr>
          <w:lang w:val="fr-FR"/>
        </w:rPr>
        <w:t xml:space="preserve">, les tiers intervenants contestent, en particulier, </w:t>
      </w:r>
      <w:r w:rsidR="00793A39">
        <w:rPr>
          <w:lang w:val="fr-FR"/>
        </w:rPr>
        <w:t>la thèse selon laquelle</w:t>
      </w:r>
      <w:r w:rsidR="00CE6B8E">
        <w:rPr>
          <w:lang w:val="fr-FR"/>
        </w:rPr>
        <w:t xml:space="preserve"> les divers délits déjà inscrits dans le </w:t>
      </w:r>
      <w:r w:rsidR="00A90C83">
        <w:rPr>
          <w:lang w:val="fr-FR"/>
        </w:rPr>
        <w:t>CP</w:t>
      </w:r>
      <w:r w:rsidR="00CE6B8E">
        <w:rPr>
          <w:lang w:val="fr-FR"/>
        </w:rPr>
        <w:t xml:space="preserve"> </w:t>
      </w:r>
      <w:r w:rsidR="00676AFE">
        <w:rPr>
          <w:lang w:val="fr-FR"/>
        </w:rPr>
        <w:t>permett</w:t>
      </w:r>
      <w:r w:rsidR="007C3DAD">
        <w:rPr>
          <w:lang w:val="fr-FR"/>
        </w:rPr>
        <w:t>rai</w:t>
      </w:r>
      <w:r w:rsidR="00676AFE">
        <w:rPr>
          <w:lang w:val="fr-FR"/>
        </w:rPr>
        <w:t xml:space="preserve">ent </w:t>
      </w:r>
      <w:r w:rsidR="00CE6B8E">
        <w:rPr>
          <w:lang w:val="fr-FR"/>
        </w:rPr>
        <w:t>une sanction adéquate et effective de</w:t>
      </w:r>
      <w:r w:rsidR="00536E8F">
        <w:rPr>
          <w:lang w:val="fr-FR"/>
        </w:rPr>
        <w:t>s actes de</w:t>
      </w:r>
      <w:r w:rsidR="00CE6B8E">
        <w:rPr>
          <w:lang w:val="fr-FR"/>
        </w:rPr>
        <w:t xml:space="preserve"> torture</w:t>
      </w:r>
      <w:r w:rsidR="001E6CFE">
        <w:rPr>
          <w:lang w:val="fr-FR"/>
        </w:rPr>
        <w:t xml:space="preserve"> </w:t>
      </w:r>
      <w:r w:rsidR="00793A39">
        <w:rPr>
          <w:lang w:val="fr-FR"/>
        </w:rPr>
        <w:t>quels qu</w:t>
      </w:r>
      <w:r w:rsidR="00603708">
        <w:rPr>
          <w:lang w:val="fr-FR"/>
        </w:rPr>
        <w:t>’</w:t>
      </w:r>
      <w:r w:rsidR="00793A39">
        <w:rPr>
          <w:lang w:val="fr-FR"/>
        </w:rPr>
        <w:t>ils soient</w:t>
      </w:r>
      <w:r w:rsidR="00CE6B8E">
        <w:rPr>
          <w:lang w:val="fr-FR"/>
        </w:rPr>
        <w:t xml:space="preserve">. </w:t>
      </w:r>
      <w:r w:rsidR="00536E8F">
        <w:rPr>
          <w:lang w:val="fr-FR"/>
        </w:rPr>
        <w:t xml:space="preserve">Ils objectent à cet égard que les </w:t>
      </w:r>
      <w:r w:rsidR="00DF3886">
        <w:rPr>
          <w:lang w:val="fr-FR"/>
        </w:rPr>
        <w:t xml:space="preserve">peines maximales prévues pour les </w:t>
      </w:r>
      <w:r w:rsidR="00536E8F">
        <w:rPr>
          <w:lang w:val="fr-FR"/>
        </w:rPr>
        <w:t xml:space="preserve">délits en question </w:t>
      </w:r>
      <w:r w:rsidR="001E6CFE">
        <w:rPr>
          <w:lang w:val="fr-FR"/>
        </w:rPr>
        <w:t xml:space="preserve">par le CP </w:t>
      </w:r>
      <w:r w:rsidR="00536E8F">
        <w:rPr>
          <w:lang w:val="fr-FR"/>
        </w:rPr>
        <w:t>sont</w:t>
      </w:r>
      <w:r w:rsidR="00D5193F">
        <w:rPr>
          <w:lang w:val="fr-FR"/>
        </w:rPr>
        <w:t xml:space="preserve"> en général</w:t>
      </w:r>
      <w:r w:rsidR="00536E8F">
        <w:rPr>
          <w:lang w:val="fr-FR"/>
        </w:rPr>
        <w:t xml:space="preserve"> </w:t>
      </w:r>
      <w:r w:rsidR="00F46CE8">
        <w:rPr>
          <w:lang w:val="fr-FR"/>
        </w:rPr>
        <w:t>légères</w:t>
      </w:r>
      <w:r w:rsidR="00D5193F">
        <w:rPr>
          <w:lang w:val="fr-FR"/>
        </w:rPr>
        <w:t xml:space="preserve"> </w:t>
      </w:r>
      <w:r w:rsidR="00DF3886">
        <w:rPr>
          <w:lang w:val="fr-FR"/>
        </w:rPr>
        <w:t>et qu</w:t>
      </w:r>
      <w:r w:rsidR="007C3DAD">
        <w:rPr>
          <w:lang w:val="fr-FR"/>
        </w:rPr>
        <w:t>e</w:t>
      </w:r>
      <w:r w:rsidR="00DF3886">
        <w:rPr>
          <w:lang w:val="fr-FR"/>
        </w:rPr>
        <w:t xml:space="preserve"> les juridictions pénales </w:t>
      </w:r>
      <w:r w:rsidR="00D5193F">
        <w:rPr>
          <w:lang w:val="fr-FR"/>
        </w:rPr>
        <w:t>ont</w:t>
      </w:r>
      <w:r w:rsidR="007C3DAD">
        <w:rPr>
          <w:lang w:val="fr-FR"/>
        </w:rPr>
        <w:t xml:space="preserve"> de plus</w:t>
      </w:r>
      <w:r w:rsidR="00DF3886">
        <w:rPr>
          <w:lang w:val="fr-FR"/>
        </w:rPr>
        <w:t xml:space="preserve"> tendance à infliger le minimum de la sanction</w:t>
      </w:r>
      <w:r w:rsidR="0032468C">
        <w:rPr>
          <w:lang w:val="fr-FR"/>
        </w:rPr>
        <w:t xml:space="preserve"> </w:t>
      </w:r>
      <w:r w:rsidR="001E6CFE">
        <w:rPr>
          <w:lang w:val="fr-FR"/>
        </w:rPr>
        <w:t>établie</w:t>
      </w:r>
      <w:r w:rsidR="00DF3886">
        <w:rPr>
          <w:lang w:val="fr-FR"/>
        </w:rPr>
        <w:t xml:space="preserve"> par la loi.</w:t>
      </w:r>
    </w:p>
    <w:p w:rsidR="0032468C" w:rsidRDefault="00557D77" w:rsidP="00E85515">
      <w:pPr>
        <w:pStyle w:val="ECHRPara"/>
        <w:ind w:firstLine="426"/>
        <w:rPr>
          <w:lang w:val="fr-FR"/>
        </w:rPr>
      </w:pPr>
      <w:r>
        <w:rPr>
          <w:lang w:val="fr-FR"/>
        </w:rPr>
        <w:t>Pour</w:t>
      </w:r>
      <w:r w:rsidRPr="00557D77">
        <w:rPr>
          <w:lang w:val="fr-FR"/>
        </w:rPr>
        <w:t xml:space="preserve"> </w:t>
      </w:r>
      <w:r>
        <w:rPr>
          <w:lang w:val="fr-FR"/>
        </w:rPr>
        <w:t>les tiers intervenants, c</w:t>
      </w:r>
      <w:r w:rsidR="00F44836">
        <w:rPr>
          <w:lang w:val="fr-FR"/>
        </w:rPr>
        <w:t>e</w:t>
      </w:r>
      <w:r>
        <w:rPr>
          <w:lang w:val="fr-FR"/>
        </w:rPr>
        <w:t xml:space="preserve"> qu</w:t>
      </w:r>
      <w:r w:rsidR="00603708">
        <w:rPr>
          <w:lang w:val="fr-FR"/>
        </w:rPr>
        <w:t>’</w:t>
      </w:r>
      <w:r>
        <w:rPr>
          <w:lang w:val="fr-FR"/>
        </w:rPr>
        <w:t>ils considèrent comme une</w:t>
      </w:r>
      <w:r w:rsidR="00DF3886">
        <w:rPr>
          <w:lang w:val="fr-FR"/>
        </w:rPr>
        <w:t xml:space="preserve"> </w:t>
      </w:r>
      <w:r w:rsidR="003C3B96">
        <w:rPr>
          <w:lang w:val="fr-FR"/>
        </w:rPr>
        <w:t xml:space="preserve">fragmentation de la qualification juridique des </w:t>
      </w:r>
      <w:r w:rsidR="00DF3886">
        <w:rPr>
          <w:lang w:val="fr-FR"/>
        </w:rPr>
        <w:t>actes de torture</w:t>
      </w:r>
      <w:r w:rsidR="00544CDF">
        <w:rPr>
          <w:lang w:val="fr-FR"/>
        </w:rPr>
        <w:t xml:space="preserve"> au titre d</w:t>
      </w:r>
      <w:r w:rsidR="00603708">
        <w:rPr>
          <w:lang w:val="fr-FR"/>
        </w:rPr>
        <w:t>’</w:t>
      </w:r>
      <w:r w:rsidR="00544CDF">
        <w:rPr>
          <w:lang w:val="fr-FR"/>
        </w:rPr>
        <w:t xml:space="preserve">un ou plusieurs délits de « droit commun » </w:t>
      </w:r>
      <w:r>
        <w:rPr>
          <w:lang w:val="fr-FR"/>
        </w:rPr>
        <w:t>et</w:t>
      </w:r>
      <w:r w:rsidR="003C3B96">
        <w:rPr>
          <w:lang w:val="fr-FR"/>
        </w:rPr>
        <w:t xml:space="preserve"> l</w:t>
      </w:r>
      <w:r>
        <w:rPr>
          <w:lang w:val="fr-FR"/>
        </w:rPr>
        <w:t>a légèreté, à leurs yeux, d</w:t>
      </w:r>
      <w:r w:rsidR="003C3B96">
        <w:rPr>
          <w:lang w:val="fr-FR"/>
        </w:rPr>
        <w:t>e</w:t>
      </w:r>
      <w:r w:rsidR="00F44836">
        <w:rPr>
          <w:lang w:val="fr-FR"/>
        </w:rPr>
        <w:t xml:space="preserve">s peines prévues pour </w:t>
      </w:r>
      <w:r w:rsidR="00544CDF">
        <w:rPr>
          <w:lang w:val="fr-FR"/>
        </w:rPr>
        <w:t xml:space="preserve">chacun de ces </w:t>
      </w:r>
      <w:r w:rsidR="00F44836">
        <w:rPr>
          <w:lang w:val="fr-FR"/>
        </w:rPr>
        <w:t>délits</w:t>
      </w:r>
      <w:r w:rsidR="00544CDF">
        <w:rPr>
          <w:lang w:val="fr-FR"/>
        </w:rPr>
        <w:t xml:space="preserve"> entra</w:t>
      </w:r>
      <w:r>
        <w:rPr>
          <w:lang w:val="fr-FR"/>
        </w:rPr>
        <w:t>î</w:t>
      </w:r>
      <w:r w:rsidR="00544CDF">
        <w:rPr>
          <w:lang w:val="fr-FR"/>
        </w:rPr>
        <w:t>nera</w:t>
      </w:r>
      <w:r w:rsidR="00F44836">
        <w:rPr>
          <w:lang w:val="fr-FR"/>
        </w:rPr>
        <w:t>i</w:t>
      </w:r>
      <w:r>
        <w:rPr>
          <w:lang w:val="fr-FR"/>
        </w:rPr>
        <w:t>en</w:t>
      </w:r>
      <w:r w:rsidR="00F44836">
        <w:rPr>
          <w:lang w:val="fr-FR"/>
        </w:rPr>
        <w:t>t</w:t>
      </w:r>
      <w:r w:rsidR="007C3DAD">
        <w:rPr>
          <w:lang w:val="fr-FR"/>
        </w:rPr>
        <w:t xml:space="preserve"> en outre</w:t>
      </w:r>
      <w:r w:rsidR="00F44836">
        <w:rPr>
          <w:lang w:val="fr-FR"/>
        </w:rPr>
        <w:t xml:space="preserve"> l</w:t>
      </w:r>
      <w:r w:rsidR="00603708">
        <w:rPr>
          <w:lang w:val="fr-FR"/>
        </w:rPr>
        <w:t>’</w:t>
      </w:r>
      <w:r w:rsidR="00F44836">
        <w:rPr>
          <w:lang w:val="fr-FR"/>
        </w:rPr>
        <w:t xml:space="preserve">application de délais de </w:t>
      </w:r>
      <w:r w:rsidR="00544CDF">
        <w:rPr>
          <w:lang w:val="fr-FR"/>
        </w:rPr>
        <w:t>prescription trop courts</w:t>
      </w:r>
      <w:r w:rsidR="00F44836">
        <w:rPr>
          <w:lang w:val="fr-FR"/>
        </w:rPr>
        <w:t xml:space="preserve"> par rapport au temps nécessaire pour mener des investigations approfondies </w:t>
      </w:r>
      <w:r w:rsidR="00F3126C">
        <w:rPr>
          <w:lang w:val="fr-FR"/>
        </w:rPr>
        <w:t>et aboutir</w:t>
      </w:r>
      <w:r w:rsidR="00F44836">
        <w:rPr>
          <w:lang w:val="fr-FR"/>
        </w:rPr>
        <w:t xml:space="preserve"> à une condamnation définitive à l</w:t>
      </w:r>
      <w:r w:rsidR="00603708">
        <w:rPr>
          <w:lang w:val="fr-FR"/>
        </w:rPr>
        <w:t>’</w:t>
      </w:r>
      <w:r w:rsidR="00F44836">
        <w:rPr>
          <w:lang w:val="fr-FR"/>
        </w:rPr>
        <w:t>issue de la procédure pénale.</w:t>
      </w:r>
      <w:r w:rsidR="00FB3178">
        <w:rPr>
          <w:lang w:val="fr-FR"/>
        </w:rPr>
        <w:t xml:space="preserve"> </w:t>
      </w:r>
      <w:r w:rsidR="00B87425">
        <w:rPr>
          <w:lang w:val="fr-FR"/>
        </w:rPr>
        <w:t>De surcro</w:t>
      </w:r>
      <w:r w:rsidR="00B87425">
        <w:rPr>
          <w:rFonts w:cstheme="minorHAnsi"/>
          <w:lang w:val="fr-FR"/>
        </w:rPr>
        <w:t>î</w:t>
      </w:r>
      <w:r w:rsidR="00B87425">
        <w:rPr>
          <w:lang w:val="fr-FR"/>
        </w:rPr>
        <w:t>t</w:t>
      </w:r>
      <w:r w:rsidR="00FB3178">
        <w:rPr>
          <w:lang w:val="fr-FR"/>
        </w:rPr>
        <w:t xml:space="preserve">, </w:t>
      </w:r>
      <w:r w:rsidR="00D57D62">
        <w:rPr>
          <w:lang w:val="fr-FR"/>
        </w:rPr>
        <w:t xml:space="preserve">ils estiment que </w:t>
      </w:r>
      <w:r w:rsidR="00FB3178">
        <w:rPr>
          <w:lang w:val="fr-FR"/>
        </w:rPr>
        <w:t>les responsables d</w:t>
      </w:r>
      <w:r w:rsidR="00603708">
        <w:rPr>
          <w:lang w:val="fr-FR"/>
        </w:rPr>
        <w:t>’</w:t>
      </w:r>
      <w:r w:rsidR="00B87425">
        <w:rPr>
          <w:lang w:val="fr-FR"/>
        </w:rPr>
        <w:t>actes qu</w:t>
      </w:r>
      <w:r w:rsidR="00603708">
        <w:rPr>
          <w:lang w:val="fr-FR"/>
        </w:rPr>
        <w:t>’</w:t>
      </w:r>
      <w:r w:rsidR="00B87425">
        <w:rPr>
          <w:lang w:val="fr-FR"/>
        </w:rPr>
        <w:t>on qualifierait de « </w:t>
      </w:r>
      <w:r w:rsidR="00FB3178">
        <w:rPr>
          <w:lang w:val="fr-FR"/>
        </w:rPr>
        <w:t>torture</w:t>
      </w:r>
      <w:r w:rsidR="00B87425">
        <w:rPr>
          <w:lang w:val="fr-FR"/>
        </w:rPr>
        <w:t> »</w:t>
      </w:r>
      <w:r w:rsidR="00FB3178">
        <w:rPr>
          <w:lang w:val="fr-FR"/>
        </w:rPr>
        <w:t xml:space="preserve"> </w:t>
      </w:r>
      <w:r w:rsidR="00F3126C">
        <w:rPr>
          <w:lang w:val="fr-FR"/>
        </w:rPr>
        <w:t>au regard du</w:t>
      </w:r>
      <w:r w:rsidR="00FB3178">
        <w:rPr>
          <w:lang w:val="fr-FR"/>
        </w:rPr>
        <w:t xml:space="preserve"> droit international</w:t>
      </w:r>
      <w:r w:rsidR="00B87425">
        <w:rPr>
          <w:lang w:val="fr-FR"/>
        </w:rPr>
        <w:t xml:space="preserve"> peuvent bénéficier</w:t>
      </w:r>
      <w:r w:rsidR="00FB3178">
        <w:rPr>
          <w:lang w:val="fr-FR"/>
        </w:rPr>
        <w:t xml:space="preserve">, </w:t>
      </w:r>
      <w:r w:rsidR="00B87425">
        <w:rPr>
          <w:lang w:val="fr-FR"/>
        </w:rPr>
        <w:t>e</w:t>
      </w:r>
      <w:r w:rsidR="00FB3178">
        <w:rPr>
          <w:lang w:val="fr-FR"/>
        </w:rPr>
        <w:t>n l</w:t>
      </w:r>
      <w:r w:rsidR="00603708">
        <w:rPr>
          <w:lang w:val="fr-FR"/>
        </w:rPr>
        <w:t>’</w:t>
      </w:r>
      <w:r w:rsidR="00FB3178">
        <w:rPr>
          <w:lang w:val="fr-FR"/>
        </w:rPr>
        <w:t xml:space="preserve">absence </w:t>
      </w:r>
      <w:r w:rsidR="00B87425">
        <w:rPr>
          <w:lang w:val="fr-FR"/>
        </w:rPr>
        <w:t>d</w:t>
      </w:r>
      <w:r w:rsidR="00603708">
        <w:rPr>
          <w:lang w:val="fr-FR"/>
        </w:rPr>
        <w:t>’</w:t>
      </w:r>
      <w:r w:rsidR="00B87425">
        <w:rPr>
          <w:lang w:val="fr-FR"/>
        </w:rPr>
        <w:t>un</w:t>
      </w:r>
      <w:r w:rsidR="00FB3178">
        <w:rPr>
          <w:lang w:val="fr-FR"/>
        </w:rPr>
        <w:t xml:space="preserve"> délit </w:t>
      </w:r>
      <w:r w:rsidR="00B87425">
        <w:rPr>
          <w:lang w:val="fr-FR"/>
        </w:rPr>
        <w:t xml:space="preserve">correspondant </w:t>
      </w:r>
      <w:r w:rsidR="00E15974">
        <w:rPr>
          <w:lang w:val="fr-FR"/>
        </w:rPr>
        <w:t>en droit interne</w:t>
      </w:r>
      <w:r w:rsidR="007C3DAD">
        <w:rPr>
          <w:lang w:val="fr-FR"/>
        </w:rPr>
        <w:t>,</w:t>
      </w:r>
      <w:r w:rsidR="00B87425">
        <w:rPr>
          <w:lang w:val="fr-FR"/>
        </w:rPr>
        <w:t xml:space="preserve"> </w:t>
      </w:r>
      <w:r w:rsidR="00FB3178">
        <w:rPr>
          <w:lang w:val="fr-FR"/>
        </w:rPr>
        <w:t>et</w:t>
      </w:r>
      <w:r w:rsidR="00B87425">
        <w:rPr>
          <w:lang w:val="fr-FR"/>
        </w:rPr>
        <w:t xml:space="preserve"> donc de toute</w:t>
      </w:r>
      <w:r w:rsidR="00FB3178">
        <w:rPr>
          <w:lang w:val="fr-FR"/>
        </w:rPr>
        <w:t xml:space="preserve"> condamnation à ce titre, </w:t>
      </w:r>
      <w:r w:rsidR="007C3DAD">
        <w:rPr>
          <w:lang w:val="fr-FR"/>
        </w:rPr>
        <w:t>d</w:t>
      </w:r>
      <w:r w:rsidR="00603708">
        <w:rPr>
          <w:lang w:val="fr-FR"/>
        </w:rPr>
        <w:t>’</w:t>
      </w:r>
      <w:r w:rsidR="007C3DAD">
        <w:rPr>
          <w:lang w:val="fr-FR"/>
        </w:rPr>
        <w:t xml:space="preserve">une </w:t>
      </w:r>
      <w:r w:rsidR="00E85515">
        <w:rPr>
          <w:lang w:val="fr-FR"/>
        </w:rPr>
        <w:t>amnistie, d</w:t>
      </w:r>
      <w:r w:rsidR="00603708">
        <w:rPr>
          <w:lang w:val="fr-FR"/>
        </w:rPr>
        <w:t>’</w:t>
      </w:r>
      <w:r w:rsidR="007C3DAD">
        <w:rPr>
          <w:lang w:val="fr-FR"/>
        </w:rPr>
        <w:t>une</w:t>
      </w:r>
      <w:r w:rsidR="00FB3178">
        <w:rPr>
          <w:lang w:val="fr-FR"/>
        </w:rPr>
        <w:t xml:space="preserve"> remise des peines</w:t>
      </w:r>
      <w:r w:rsidR="00E85515">
        <w:rPr>
          <w:lang w:val="fr-FR"/>
        </w:rPr>
        <w:t>,</w:t>
      </w:r>
      <w:r w:rsidR="00FB3178">
        <w:rPr>
          <w:lang w:val="fr-FR"/>
        </w:rPr>
        <w:t xml:space="preserve"> </w:t>
      </w:r>
      <w:r w:rsidR="00E85515">
        <w:rPr>
          <w:lang w:val="fr-FR"/>
        </w:rPr>
        <w:t>d</w:t>
      </w:r>
      <w:r w:rsidR="00603708">
        <w:rPr>
          <w:lang w:val="fr-FR"/>
        </w:rPr>
        <w:t>’</w:t>
      </w:r>
      <w:r w:rsidR="007C3DAD">
        <w:rPr>
          <w:lang w:val="fr-FR"/>
        </w:rPr>
        <w:t>un</w:t>
      </w:r>
      <w:r w:rsidR="00FB3178">
        <w:rPr>
          <w:lang w:val="fr-FR"/>
        </w:rPr>
        <w:t xml:space="preserve"> sursis à l</w:t>
      </w:r>
      <w:r w:rsidR="00603708">
        <w:rPr>
          <w:lang w:val="fr-FR"/>
        </w:rPr>
        <w:t>’</w:t>
      </w:r>
      <w:r w:rsidR="00FB3178">
        <w:rPr>
          <w:lang w:val="fr-FR"/>
        </w:rPr>
        <w:t>exécution de</w:t>
      </w:r>
      <w:r w:rsidR="007C3DAD">
        <w:rPr>
          <w:lang w:val="fr-FR"/>
        </w:rPr>
        <w:t>s</w:t>
      </w:r>
      <w:r w:rsidR="00FB3178">
        <w:rPr>
          <w:lang w:val="fr-FR"/>
        </w:rPr>
        <w:t xml:space="preserve"> peines</w:t>
      </w:r>
      <w:r w:rsidR="00E85515">
        <w:rPr>
          <w:lang w:val="fr-FR"/>
        </w:rPr>
        <w:t xml:space="preserve"> et de diverses autres mesures </w:t>
      </w:r>
      <w:r w:rsidR="00D57D62">
        <w:rPr>
          <w:lang w:val="fr-FR"/>
        </w:rPr>
        <w:t xml:space="preserve">qui </w:t>
      </w:r>
      <w:r w:rsidR="00E85515">
        <w:rPr>
          <w:lang w:val="fr-FR"/>
        </w:rPr>
        <w:t>affaibliss</w:t>
      </w:r>
      <w:r w:rsidR="00D57D62">
        <w:rPr>
          <w:lang w:val="fr-FR"/>
        </w:rPr>
        <w:t>e</w:t>
      </w:r>
      <w:r w:rsidR="00E85515">
        <w:rPr>
          <w:lang w:val="fr-FR"/>
        </w:rPr>
        <w:t>nt</w:t>
      </w:r>
      <w:r w:rsidR="00D57D62">
        <w:rPr>
          <w:lang w:val="fr-FR"/>
        </w:rPr>
        <w:t>, à leur avis,</w:t>
      </w:r>
      <w:r w:rsidR="00E85515">
        <w:rPr>
          <w:lang w:val="fr-FR"/>
        </w:rPr>
        <w:t xml:space="preserve"> l</w:t>
      </w:r>
      <w:r w:rsidR="00603708">
        <w:rPr>
          <w:lang w:val="fr-FR"/>
        </w:rPr>
        <w:t>’</w:t>
      </w:r>
      <w:r w:rsidR="00FB302A">
        <w:rPr>
          <w:lang w:val="fr-FR"/>
        </w:rPr>
        <w:t>effectivité de la</w:t>
      </w:r>
      <w:r w:rsidR="00E85515">
        <w:rPr>
          <w:lang w:val="fr-FR"/>
        </w:rPr>
        <w:t xml:space="preserve"> </w:t>
      </w:r>
      <w:r w:rsidR="00FB302A">
        <w:rPr>
          <w:lang w:val="fr-FR"/>
        </w:rPr>
        <w:t>sanction pénale</w:t>
      </w:r>
      <w:r w:rsidR="00E85515">
        <w:rPr>
          <w:lang w:val="fr-FR"/>
        </w:rPr>
        <w:t>.</w:t>
      </w:r>
    </w:p>
    <w:p w:rsidR="00CD3A98" w:rsidRDefault="00E85515" w:rsidP="00E85515">
      <w:pPr>
        <w:pStyle w:val="ECHRPara"/>
        <w:ind w:firstLine="426"/>
        <w:rPr>
          <w:lang w:val="fr-FR"/>
        </w:rPr>
      </w:pPr>
      <w:r>
        <w:rPr>
          <w:lang w:val="fr-FR"/>
        </w:rPr>
        <w:t>E</w:t>
      </w:r>
      <w:r w:rsidR="00CD3A98">
        <w:rPr>
          <w:lang w:val="fr-FR"/>
        </w:rPr>
        <w:t>n somme, les tortionnaires pourraient se sentir libres d</w:t>
      </w:r>
      <w:r w:rsidR="00603708">
        <w:rPr>
          <w:lang w:val="fr-FR"/>
        </w:rPr>
        <w:t>’</w:t>
      </w:r>
      <w:r w:rsidR="00CD3A98">
        <w:rPr>
          <w:lang w:val="fr-FR"/>
        </w:rPr>
        <w:t xml:space="preserve">agir </w:t>
      </w:r>
      <w:r w:rsidR="00D57D62">
        <w:rPr>
          <w:lang w:val="fr-FR"/>
        </w:rPr>
        <w:t xml:space="preserve">avec </w:t>
      </w:r>
      <w:r w:rsidR="00CD3A98">
        <w:rPr>
          <w:lang w:val="fr-FR"/>
        </w:rPr>
        <w:t xml:space="preserve">la conviction de </w:t>
      </w:r>
      <w:r w:rsidR="00E15974">
        <w:rPr>
          <w:lang w:val="fr-FR"/>
        </w:rPr>
        <w:t>jouir d</w:t>
      </w:r>
      <w:r w:rsidR="00603708">
        <w:rPr>
          <w:lang w:val="fr-FR"/>
        </w:rPr>
        <w:t>’</w:t>
      </w:r>
      <w:r w:rsidR="00E15974">
        <w:rPr>
          <w:lang w:val="fr-FR"/>
        </w:rPr>
        <w:t>une impunité</w:t>
      </w:r>
      <w:r w:rsidR="00CD3A98">
        <w:rPr>
          <w:lang w:val="fr-FR"/>
        </w:rPr>
        <w:t xml:space="preserve"> quasi</w:t>
      </w:r>
      <w:r w:rsidR="007C3DAD">
        <w:rPr>
          <w:lang w:val="fr-FR"/>
        </w:rPr>
        <w:t xml:space="preserve"> </w:t>
      </w:r>
      <w:r w:rsidR="00CD3A98">
        <w:rPr>
          <w:lang w:val="fr-FR"/>
        </w:rPr>
        <w:t>absolue.</w:t>
      </w:r>
    </w:p>
    <w:p w:rsidR="0032468C" w:rsidRDefault="00CD3A98" w:rsidP="00E85515">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203</w:t>
      </w:r>
      <w:r>
        <w:rPr>
          <w:lang w:val="fr-FR"/>
        </w:rPr>
        <w:fldChar w:fldCharType="end"/>
      </w:r>
      <w:r>
        <w:rPr>
          <w:lang w:val="fr-FR"/>
        </w:rPr>
        <w:t>.  </w:t>
      </w:r>
      <w:r w:rsidR="003640DC">
        <w:rPr>
          <w:lang w:val="fr-FR"/>
        </w:rPr>
        <w:t>Les tiers intervenants concluent que, d</w:t>
      </w:r>
      <w:r>
        <w:rPr>
          <w:lang w:val="fr-FR"/>
        </w:rPr>
        <w:t>ans ces conditions, l</w:t>
      </w:r>
      <w:r w:rsidR="00603708">
        <w:rPr>
          <w:lang w:val="fr-FR"/>
        </w:rPr>
        <w:t>’</w:t>
      </w:r>
      <w:r>
        <w:rPr>
          <w:lang w:val="fr-FR"/>
        </w:rPr>
        <w:t xml:space="preserve">Italie </w:t>
      </w:r>
      <w:r w:rsidR="005E5067">
        <w:rPr>
          <w:lang w:val="fr-FR"/>
        </w:rPr>
        <w:t>viole</w:t>
      </w:r>
      <w:r>
        <w:rPr>
          <w:lang w:val="fr-FR"/>
        </w:rPr>
        <w:t xml:space="preserve"> les obligations </w:t>
      </w:r>
      <w:r w:rsidR="00D57D62">
        <w:rPr>
          <w:lang w:val="fr-FR"/>
        </w:rPr>
        <w:t>qui découleraient</w:t>
      </w:r>
      <w:r>
        <w:rPr>
          <w:lang w:val="fr-FR"/>
        </w:rPr>
        <w:t xml:space="preserve"> </w:t>
      </w:r>
      <w:r w:rsidR="00544CDF">
        <w:rPr>
          <w:lang w:val="fr-FR"/>
        </w:rPr>
        <w:t xml:space="preserve">non seulement </w:t>
      </w:r>
      <w:r>
        <w:rPr>
          <w:lang w:val="fr-FR"/>
        </w:rPr>
        <w:t xml:space="preserve">de la </w:t>
      </w:r>
      <w:r w:rsidR="00544CDF">
        <w:rPr>
          <w:lang w:val="fr-FR"/>
        </w:rPr>
        <w:t>Convention contre la torture et autres peines ou traitements cruels, inhumains ou dégradants</w:t>
      </w:r>
      <w:r w:rsidR="00D57D62">
        <w:rPr>
          <w:lang w:val="fr-FR"/>
        </w:rPr>
        <w:t>,</w:t>
      </w:r>
      <w:r w:rsidR="00544CDF">
        <w:rPr>
          <w:lang w:val="fr-FR"/>
        </w:rPr>
        <w:t xml:space="preserve"> mais également de l</w:t>
      </w:r>
      <w:r w:rsidR="00603708">
        <w:rPr>
          <w:lang w:val="fr-FR"/>
        </w:rPr>
        <w:t>’</w:t>
      </w:r>
      <w:r w:rsidR="00544CDF">
        <w:rPr>
          <w:lang w:val="fr-FR"/>
        </w:rPr>
        <w:t>article 3 de la Convention.</w:t>
      </w:r>
    </w:p>
    <w:p w:rsidR="00603708" w:rsidRDefault="00FB302A" w:rsidP="00AC0DAF">
      <w:pPr>
        <w:pStyle w:val="ECHRPara"/>
        <w:rPr>
          <w:lang w:val="fr-FR"/>
        </w:rPr>
      </w:pPr>
      <w:r>
        <w:rPr>
          <w:rFonts w:cstheme="minorHAnsi"/>
          <w:lang w:val="fr-FR"/>
        </w:rPr>
        <w:t>À</w:t>
      </w:r>
      <w:r>
        <w:rPr>
          <w:lang w:val="fr-FR"/>
        </w:rPr>
        <w:t xml:space="preserve"> ce propos, ils attirent l</w:t>
      </w:r>
      <w:r w:rsidR="00603708">
        <w:rPr>
          <w:lang w:val="fr-FR"/>
        </w:rPr>
        <w:t>’</w:t>
      </w:r>
      <w:r>
        <w:rPr>
          <w:lang w:val="fr-FR"/>
        </w:rPr>
        <w:t>attention de la Cour sur</w:t>
      </w:r>
      <w:r w:rsidR="005E5067">
        <w:rPr>
          <w:lang w:val="fr-FR"/>
        </w:rPr>
        <w:t xml:space="preserve"> les principes</w:t>
      </w:r>
      <w:r w:rsidR="00A90C83">
        <w:rPr>
          <w:lang w:val="fr-FR"/>
        </w:rPr>
        <w:t xml:space="preserve"> qu</w:t>
      </w:r>
      <w:r w:rsidR="00603708">
        <w:rPr>
          <w:lang w:val="fr-FR"/>
        </w:rPr>
        <w:t>’</w:t>
      </w:r>
      <w:r w:rsidR="00A90C83">
        <w:rPr>
          <w:lang w:val="fr-FR"/>
        </w:rPr>
        <w:t>elle a</w:t>
      </w:r>
      <w:r w:rsidR="003640DC">
        <w:rPr>
          <w:lang w:val="fr-FR"/>
        </w:rPr>
        <w:t>urait</w:t>
      </w:r>
      <w:r w:rsidR="005E5067">
        <w:rPr>
          <w:lang w:val="fr-FR"/>
        </w:rPr>
        <w:t xml:space="preserve"> </w:t>
      </w:r>
      <w:r w:rsidR="00936E6F">
        <w:rPr>
          <w:lang w:val="fr-FR"/>
        </w:rPr>
        <w:t xml:space="preserve">énoncés </w:t>
      </w:r>
      <w:r w:rsidR="005E5067">
        <w:rPr>
          <w:lang w:val="fr-FR"/>
        </w:rPr>
        <w:t>dans l</w:t>
      </w:r>
      <w:r w:rsidR="00603708">
        <w:rPr>
          <w:lang w:val="fr-FR"/>
        </w:rPr>
        <w:t>’</w:t>
      </w:r>
      <w:r w:rsidR="005E5067">
        <w:rPr>
          <w:lang w:val="fr-FR"/>
        </w:rPr>
        <w:t>a</w:t>
      </w:r>
      <w:r w:rsidR="003640DC">
        <w:rPr>
          <w:lang w:val="fr-FR"/>
        </w:rPr>
        <w:t>rrêt</w:t>
      </w:r>
      <w:r w:rsidR="005E5067">
        <w:rPr>
          <w:lang w:val="fr-FR"/>
        </w:rPr>
        <w:t xml:space="preserve"> </w:t>
      </w:r>
      <w:r w:rsidR="005E5067" w:rsidRPr="005E5067">
        <w:rPr>
          <w:i/>
          <w:lang w:val="fr-FR"/>
        </w:rPr>
        <w:t>G</w:t>
      </w:r>
      <w:r w:rsidR="005E5067" w:rsidRPr="005E5067">
        <w:rPr>
          <w:rFonts w:cstheme="minorHAnsi"/>
          <w:i/>
          <w:lang w:val="fr-FR"/>
        </w:rPr>
        <w:t>ä</w:t>
      </w:r>
      <w:r w:rsidR="005E5067" w:rsidRPr="005E5067">
        <w:rPr>
          <w:i/>
          <w:lang w:val="fr-FR"/>
        </w:rPr>
        <w:t>fgen</w:t>
      </w:r>
      <w:r w:rsidR="005E5067">
        <w:rPr>
          <w:lang w:val="fr-FR"/>
        </w:rPr>
        <w:t xml:space="preserve"> </w:t>
      </w:r>
      <w:r w:rsidR="003640DC">
        <w:rPr>
          <w:lang w:val="fr-FR"/>
        </w:rPr>
        <w:t>(</w:t>
      </w:r>
      <w:r w:rsidR="005E5067">
        <w:rPr>
          <w:lang w:val="fr-FR"/>
        </w:rPr>
        <w:t>précité</w:t>
      </w:r>
      <w:r w:rsidR="003640DC">
        <w:rPr>
          <w:lang w:val="fr-FR"/>
        </w:rPr>
        <w:t>), à son paragraphe</w:t>
      </w:r>
      <w:r w:rsidR="005E5067">
        <w:rPr>
          <w:lang w:val="fr-FR"/>
        </w:rPr>
        <w:t xml:space="preserve"> 121, au sujet de l</w:t>
      </w:r>
      <w:r w:rsidR="00603708">
        <w:rPr>
          <w:lang w:val="fr-FR"/>
        </w:rPr>
        <w:t>’</w:t>
      </w:r>
      <w:r w:rsidR="005E5067">
        <w:rPr>
          <w:lang w:val="fr-FR"/>
        </w:rPr>
        <w:t>évaluation du caractère « effecti</w:t>
      </w:r>
      <w:r w:rsidR="00A90C83">
        <w:rPr>
          <w:lang w:val="fr-FR"/>
        </w:rPr>
        <w:t>f</w:t>
      </w:r>
      <w:r w:rsidR="005E5067">
        <w:rPr>
          <w:lang w:val="fr-FR"/>
        </w:rPr>
        <w:t> » de l</w:t>
      </w:r>
      <w:r w:rsidR="00603708">
        <w:rPr>
          <w:lang w:val="fr-FR"/>
        </w:rPr>
        <w:t>’</w:t>
      </w:r>
      <w:r w:rsidR="005E5067">
        <w:rPr>
          <w:lang w:val="fr-FR"/>
        </w:rPr>
        <w:t>enquête que les autorités doivent mener en cas d</w:t>
      </w:r>
      <w:r w:rsidR="00603708">
        <w:rPr>
          <w:lang w:val="fr-FR"/>
        </w:rPr>
        <w:t>’</w:t>
      </w:r>
      <w:r w:rsidR="005E5067">
        <w:rPr>
          <w:lang w:val="fr-FR"/>
        </w:rPr>
        <w:t>allégations de mauvais traitements</w:t>
      </w:r>
      <w:r w:rsidR="003640DC">
        <w:rPr>
          <w:lang w:val="fr-FR"/>
        </w:rPr>
        <w:t> : ils soulignent</w:t>
      </w:r>
      <w:r w:rsidR="009F303A">
        <w:rPr>
          <w:lang w:val="fr-FR"/>
        </w:rPr>
        <w:t xml:space="preserve">, en particulier, que </w:t>
      </w:r>
      <w:r w:rsidR="009F303A" w:rsidRPr="009F303A">
        <w:rPr>
          <w:lang w:val="fr-FR"/>
        </w:rPr>
        <w:t>l</w:t>
      </w:r>
      <w:r w:rsidR="00603708">
        <w:rPr>
          <w:lang w:val="fr-FR"/>
        </w:rPr>
        <w:t>’</w:t>
      </w:r>
      <w:r w:rsidR="009F303A" w:rsidRPr="009F303A">
        <w:rPr>
          <w:lang w:val="fr-FR"/>
        </w:rPr>
        <w:t>issue de l</w:t>
      </w:r>
      <w:r w:rsidR="00603708">
        <w:rPr>
          <w:lang w:val="fr-FR"/>
        </w:rPr>
        <w:t>’</w:t>
      </w:r>
      <w:r w:rsidR="009F303A" w:rsidRPr="009F303A">
        <w:rPr>
          <w:lang w:val="fr-FR"/>
        </w:rPr>
        <w:t>enquête et des poursuites pénales qu</w:t>
      </w:r>
      <w:r w:rsidR="00603708">
        <w:rPr>
          <w:lang w:val="fr-FR"/>
        </w:rPr>
        <w:t>’</w:t>
      </w:r>
      <w:r w:rsidR="009F303A" w:rsidRPr="009F303A">
        <w:rPr>
          <w:lang w:val="fr-FR"/>
        </w:rPr>
        <w:t>elle déclenche, y compris la sanction prononcée</w:t>
      </w:r>
      <w:r w:rsidR="009F303A">
        <w:rPr>
          <w:lang w:val="fr-FR"/>
        </w:rPr>
        <w:t>, est</w:t>
      </w:r>
      <w:r w:rsidR="009F303A" w:rsidRPr="009F303A">
        <w:rPr>
          <w:lang w:val="fr-FR"/>
        </w:rPr>
        <w:t xml:space="preserve"> déterminante</w:t>
      </w:r>
      <w:r w:rsidR="009F303A">
        <w:rPr>
          <w:lang w:val="fr-FR"/>
        </w:rPr>
        <w:t xml:space="preserve">. </w:t>
      </w:r>
      <w:r w:rsidR="00547866">
        <w:rPr>
          <w:lang w:val="fr-FR"/>
        </w:rPr>
        <w:t>Se référant</w:t>
      </w:r>
      <w:r w:rsidR="003640DC">
        <w:rPr>
          <w:lang w:val="fr-FR"/>
        </w:rPr>
        <w:t xml:space="preserve"> ensuite à l</w:t>
      </w:r>
      <w:r w:rsidR="00603708">
        <w:rPr>
          <w:lang w:val="fr-FR"/>
        </w:rPr>
        <w:t>’</w:t>
      </w:r>
      <w:r w:rsidR="003640DC">
        <w:rPr>
          <w:lang w:val="fr-FR"/>
        </w:rPr>
        <w:t>arrêt</w:t>
      </w:r>
      <w:r w:rsidR="00513CCF">
        <w:rPr>
          <w:lang w:val="fr-FR"/>
        </w:rPr>
        <w:t xml:space="preserve"> </w:t>
      </w:r>
      <w:r w:rsidR="00513CCF" w:rsidRPr="00513CCF">
        <w:rPr>
          <w:i/>
          <w:szCs w:val="24"/>
          <w:lang w:val="fr-FR"/>
        </w:rPr>
        <w:t>Siliadin c. France</w:t>
      </w:r>
      <w:r w:rsidR="00513CCF" w:rsidRPr="00513CCF">
        <w:rPr>
          <w:szCs w:val="24"/>
          <w:lang w:val="fr-FR"/>
        </w:rPr>
        <w:t xml:space="preserve"> </w:t>
      </w:r>
      <w:r w:rsidR="003640DC">
        <w:rPr>
          <w:szCs w:val="24"/>
          <w:lang w:val="fr-FR"/>
        </w:rPr>
        <w:t>(</w:t>
      </w:r>
      <w:r w:rsidR="00513CCF" w:rsidRPr="00513CCF">
        <w:rPr>
          <w:szCs w:val="24"/>
          <w:lang w:val="fr-FR"/>
        </w:rPr>
        <w:t>n</w:t>
      </w:r>
      <w:r w:rsidR="00513CCF" w:rsidRPr="00513CCF">
        <w:rPr>
          <w:szCs w:val="24"/>
          <w:vertAlign w:val="superscript"/>
          <w:lang w:val="fr-FR"/>
        </w:rPr>
        <w:t>o</w:t>
      </w:r>
      <w:r w:rsidR="00513CCF" w:rsidRPr="00513CCF">
        <w:rPr>
          <w:szCs w:val="24"/>
          <w:lang w:val="fr-FR"/>
        </w:rPr>
        <w:t xml:space="preserve"> 73316/01, </w:t>
      </w:r>
      <w:r w:rsidR="00AE7C86">
        <w:rPr>
          <w:szCs w:val="24"/>
          <w:lang w:val="fr-FR"/>
        </w:rPr>
        <w:t xml:space="preserve">§§ 89 et 112, </w:t>
      </w:r>
      <w:r w:rsidR="00513CCF" w:rsidRPr="00513CCF">
        <w:rPr>
          <w:lang w:val="fr-FR"/>
        </w:rPr>
        <w:t>CEDH 2005</w:t>
      </w:r>
      <w:r w:rsidR="00513CCF" w:rsidRPr="00513CCF">
        <w:rPr>
          <w:lang w:val="fr-FR"/>
        </w:rPr>
        <w:noBreakHyphen/>
        <w:t>VII</w:t>
      </w:r>
      <w:r w:rsidR="003640DC">
        <w:rPr>
          <w:lang w:val="fr-FR"/>
        </w:rPr>
        <w:t>)</w:t>
      </w:r>
      <w:r w:rsidR="00513CCF">
        <w:rPr>
          <w:lang w:val="fr-FR"/>
        </w:rPr>
        <w:t>, ils</w:t>
      </w:r>
      <w:r w:rsidR="005E5067">
        <w:rPr>
          <w:lang w:val="fr-FR"/>
        </w:rPr>
        <w:t xml:space="preserve"> </w:t>
      </w:r>
      <w:r w:rsidR="00936E6F">
        <w:rPr>
          <w:lang w:val="fr-FR"/>
        </w:rPr>
        <w:t>considèr</w:t>
      </w:r>
      <w:r w:rsidR="003640DC">
        <w:rPr>
          <w:lang w:val="fr-FR"/>
        </w:rPr>
        <w:t>ent</w:t>
      </w:r>
      <w:r w:rsidR="005E5067">
        <w:rPr>
          <w:lang w:val="fr-FR"/>
        </w:rPr>
        <w:t xml:space="preserve">, </w:t>
      </w:r>
      <w:r w:rsidR="003640DC">
        <w:rPr>
          <w:lang w:val="fr-FR"/>
        </w:rPr>
        <w:t xml:space="preserve">de manière plus </w:t>
      </w:r>
      <w:r w:rsidR="005E5067">
        <w:rPr>
          <w:lang w:val="fr-FR"/>
        </w:rPr>
        <w:t>général</w:t>
      </w:r>
      <w:r w:rsidR="003640DC">
        <w:rPr>
          <w:lang w:val="fr-FR"/>
        </w:rPr>
        <w:t>e</w:t>
      </w:r>
      <w:r w:rsidR="005E5067">
        <w:rPr>
          <w:lang w:val="fr-FR"/>
        </w:rPr>
        <w:t>, que la protection des droits de l</w:t>
      </w:r>
      <w:r w:rsidR="00603708">
        <w:rPr>
          <w:lang w:val="fr-FR"/>
        </w:rPr>
        <w:t>’</w:t>
      </w:r>
      <w:r w:rsidR="005E5067">
        <w:rPr>
          <w:lang w:val="fr-FR"/>
        </w:rPr>
        <w:t>homme reconnu</w:t>
      </w:r>
      <w:r w:rsidR="00A90C83">
        <w:rPr>
          <w:lang w:val="fr-FR"/>
        </w:rPr>
        <w:t>s</w:t>
      </w:r>
      <w:r w:rsidR="005E5067">
        <w:rPr>
          <w:lang w:val="fr-FR"/>
        </w:rPr>
        <w:t xml:space="preserve"> par la Convention</w:t>
      </w:r>
      <w:r w:rsidR="00513CCF">
        <w:rPr>
          <w:lang w:val="fr-FR"/>
        </w:rPr>
        <w:t xml:space="preserve"> peut entra</w:t>
      </w:r>
      <w:r w:rsidR="003640DC">
        <w:rPr>
          <w:lang w:val="fr-FR"/>
        </w:rPr>
        <w:t>î</w:t>
      </w:r>
      <w:r w:rsidR="00513CCF">
        <w:rPr>
          <w:lang w:val="fr-FR"/>
        </w:rPr>
        <w:t>ner l</w:t>
      </w:r>
      <w:r w:rsidR="00603708">
        <w:rPr>
          <w:lang w:val="fr-FR"/>
        </w:rPr>
        <w:t>’</w:t>
      </w:r>
      <w:r w:rsidR="00513CCF">
        <w:rPr>
          <w:lang w:val="fr-FR"/>
        </w:rPr>
        <w:t>obligation d</w:t>
      </w:r>
      <w:r w:rsidR="00603708">
        <w:rPr>
          <w:lang w:val="fr-FR"/>
        </w:rPr>
        <w:t>’</w:t>
      </w:r>
      <w:r w:rsidR="00513CCF">
        <w:rPr>
          <w:lang w:val="fr-FR"/>
        </w:rPr>
        <w:t>inscrire en délit, au niveau national</w:t>
      </w:r>
      <w:r w:rsidR="00936E6F">
        <w:rPr>
          <w:lang w:val="fr-FR"/>
        </w:rPr>
        <w:t>,</w:t>
      </w:r>
      <w:r w:rsidR="003640DC">
        <w:rPr>
          <w:lang w:val="fr-FR"/>
        </w:rPr>
        <w:t xml:space="preserve"> </w:t>
      </w:r>
      <w:r w:rsidR="00936E6F">
        <w:rPr>
          <w:lang w:val="fr-FR"/>
        </w:rPr>
        <w:t>les pratiques visées par l</w:t>
      </w:r>
      <w:r w:rsidR="00603708">
        <w:rPr>
          <w:lang w:val="fr-FR"/>
        </w:rPr>
        <w:t>’</w:t>
      </w:r>
      <w:r w:rsidR="00936E6F">
        <w:rPr>
          <w:lang w:val="fr-FR"/>
        </w:rPr>
        <w:t xml:space="preserve">article 3 de la Convention </w:t>
      </w:r>
      <w:r w:rsidR="003640DC">
        <w:rPr>
          <w:lang w:val="fr-FR"/>
        </w:rPr>
        <w:t>et celle de</w:t>
      </w:r>
      <w:r w:rsidR="00A90C83">
        <w:rPr>
          <w:lang w:val="fr-FR"/>
        </w:rPr>
        <w:t xml:space="preserve"> sanctionner</w:t>
      </w:r>
      <w:r w:rsidR="009F303A">
        <w:rPr>
          <w:lang w:val="fr-FR"/>
        </w:rPr>
        <w:t xml:space="preserve"> de manière adéquate</w:t>
      </w:r>
      <w:r w:rsidR="00513CCF">
        <w:rPr>
          <w:lang w:val="fr-FR"/>
        </w:rPr>
        <w:t xml:space="preserve"> les atteintes à ces mêmes droits.</w:t>
      </w:r>
    </w:p>
    <w:p w:rsidR="00E34D0C" w:rsidRDefault="00E34D0C" w:rsidP="00E34D0C">
      <w:pPr>
        <w:pStyle w:val="ECHRHeading4"/>
        <w:rPr>
          <w:lang w:val="fr-FR"/>
        </w:rPr>
      </w:pPr>
      <w:r>
        <w:rPr>
          <w:lang w:val="fr-FR"/>
        </w:rPr>
        <w:t>b)</w:t>
      </w:r>
      <w:r w:rsidR="003A0DA9">
        <w:rPr>
          <w:lang w:val="fr-FR"/>
        </w:rPr>
        <w:t>  </w:t>
      </w:r>
      <w:r>
        <w:rPr>
          <w:lang w:val="fr-FR"/>
        </w:rPr>
        <w:t>Appréciation de la Cour</w:t>
      </w:r>
    </w:p>
    <w:p w:rsidR="00E34D0C" w:rsidRPr="00D774FF" w:rsidRDefault="00E34D0C">
      <w:pPr>
        <w:pStyle w:val="ECHRHeading5"/>
        <w:rPr>
          <w:lang w:val="fr-FR"/>
        </w:rPr>
      </w:pPr>
      <w:r w:rsidRPr="00D774FF">
        <w:rPr>
          <w:lang w:val="fr-FR"/>
        </w:rPr>
        <w:t>i.</w:t>
      </w:r>
      <w:r w:rsidR="003A0DA9" w:rsidRPr="00D774FF">
        <w:rPr>
          <w:lang w:val="fr-FR"/>
        </w:rPr>
        <w:t>  </w:t>
      </w:r>
      <w:r w:rsidRPr="00D774FF">
        <w:rPr>
          <w:lang w:val="fr-FR"/>
        </w:rPr>
        <w:t>Principes généraux</w:t>
      </w:r>
    </w:p>
    <w:p w:rsidR="0032468C" w:rsidRDefault="00E34D0C" w:rsidP="00F74034">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204</w:t>
      </w:r>
      <w:r>
        <w:rPr>
          <w:lang w:val="fr-FR"/>
        </w:rPr>
        <w:fldChar w:fldCharType="end"/>
      </w:r>
      <w:r>
        <w:rPr>
          <w:lang w:val="fr-FR"/>
        </w:rPr>
        <w:t>.</w:t>
      </w:r>
      <w:r w:rsidR="003640DC">
        <w:rPr>
          <w:lang w:val="fr-FR"/>
        </w:rPr>
        <w:t>  </w:t>
      </w:r>
      <w:r w:rsidR="00E92519">
        <w:rPr>
          <w:lang w:val="fr-FR"/>
        </w:rPr>
        <w:t>L</w:t>
      </w:r>
      <w:r w:rsidR="001F15E7" w:rsidRPr="008F7BFA">
        <w:rPr>
          <w:lang w:val="fr-FR"/>
        </w:rPr>
        <w:t xml:space="preserve">a Cour rappelle que </w:t>
      </w:r>
      <w:r w:rsidR="001F15E7" w:rsidRPr="008F7BFA">
        <w:rPr>
          <w:rStyle w:val="sb8d990e2"/>
          <w:lang w:val="fr-FR"/>
        </w:rPr>
        <w:t>lorsqu</w:t>
      </w:r>
      <w:r w:rsidR="00603708">
        <w:rPr>
          <w:rStyle w:val="sb8d990e2"/>
          <w:lang w:val="fr-FR"/>
        </w:rPr>
        <w:t>’</w:t>
      </w:r>
      <w:r w:rsidR="001F15E7" w:rsidRPr="008F7BFA">
        <w:rPr>
          <w:rStyle w:val="sb8d990e2"/>
          <w:lang w:val="fr-FR"/>
        </w:rPr>
        <w:t>un individu soutient de manière défendable avoir subi, aux mains de la police ou d</w:t>
      </w:r>
      <w:r w:rsidR="00603708">
        <w:rPr>
          <w:rStyle w:val="sb8d990e2"/>
          <w:lang w:val="fr-FR"/>
        </w:rPr>
        <w:t>’</w:t>
      </w:r>
      <w:r w:rsidR="001F15E7" w:rsidRPr="008F7BFA">
        <w:rPr>
          <w:rStyle w:val="sb8d990e2"/>
          <w:lang w:val="fr-FR"/>
        </w:rPr>
        <w:t>autres services comparables de l</w:t>
      </w:r>
      <w:r w:rsidR="00603708">
        <w:rPr>
          <w:rStyle w:val="sb8d990e2"/>
          <w:lang w:val="fr-FR"/>
        </w:rPr>
        <w:t>’</w:t>
      </w:r>
      <w:r w:rsidR="00AA30EB">
        <w:rPr>
          <w:rStyle w:val="sb8d990e2"/>
          <w:rFonts w:cstheme="minorHAnsi"/>
          <w:lang w:val="fr-FR"/>
        </w:rPr>
        <w:t>É</w:t>
      </w:r>
      <w:r w:rsidR="001F15E7" w:rsidRPr="008F7BFA">
        <w:rPr>
          <w:rStyle w:val="sb8d990e2"/>
          <w:lang w:val="fr-FR"/>
        </w:rPr>
        <w:t>tat, un traitement contraire à l</w:t>
      </w:r>
      <w:r w:rsidR="00603708">
        <w:rPr>
          <w:rStyle w:val="sb8d990e2"/>
          <w:lang w:val="fr-FR"/>
        </w:rPr>
        <w:t>’</w:t>
      </w:r>
      <w:r w:rsidR="001F15E7" w:rsidRPr="008F7BFA">
        <w:rPr>
          <w:rStyle w:val="sb8d990e2"/>
          <w:lang w:val="fr-FR"/>
        </w:rPr>
        <w:t>article 3, cette disposition, combinée avec le devoir général imposé à l</w:t>
      </w:r>
      <w:r w:rsidR="00603708">
        <w:rPr>
          <w:rStyle w:val="sb8d990e2"/>
          <w:lang w:val="fr-FR"/>
        </w:rPr>
        <w:t>’</w:t>
      </w:r>
      <w:r w:rsidR="00AA30EB">
        <w:rPr>
          <w:rStyle w:val="sb8d990e2"/>
          <w:rFonts w:cstheme="minorHAnsi"/>
          <w:lang w:val="fr-FR"/>
        </w:rPr>
        <w:t>É</w:t>
      </w:r>
      <w:r w:rsidR="001F15E7" w:rsidRPr="008F7BFA">
        <w:rPr>
          <w:rStyle w:val="sb8d990e2"/>
          <w:lang w:val="fr-FR"/>
        </w:rPr>
        <w:t>tat par l</w:t>
      </w:r>
      <w:r w:rsidR="00603708">
        <w:rPr>
          <w:rStyle w:val="sb8d990e2"/>
          <w:lang w:val="fr-FR"/>
        </w:rPr>
        <w:t>’</w:t>
      </w:r>
      <w:r w:rsidR="001F15E7" w:rsidRPr="008F7BFA">
        <w:rPr>
          <w:rStyle w:val="sb8d990e2"/>
          <w:lang w:val="fr-FR"/>
        </w:rPr>
        <w:t>article 1 de la Convention de « reconnaître à toute personne relevant de [sa] juridiction les droits et libertés définis (</w:t>
      </w:r>
      <w:r w:rsidR="001F15E7">
        <w:rPr>
          <w:rStyle w:val="sb8d990e2"/>
          <w:lang w:val="fr-FR"/>
        </w:rPr>
        <w:t>...</w:t>
      </w:r>
      <w:r w:rsidR="001F15E7" w:rsidRPr="008F7BFA">
        <w:rPr>
          <w:rStyle w:val="sb8d990e2"/>
          <w:lang w:val="fr-FR"/>
        </w:rPr>
        <w:t>) [dans la ] Convention », requiert, par implication, qu</w:t>
      </w:r>
      <w:r w:rsidR="00603708">
        <w:rPr>
          <w:rStyle w:val="sb8d990e2"/>
          <w:lang w:val="fr-FR"/>
        </w:rPr>
        <w:t>’</w:t>
      </w:r>
      <w:r w:rsidR="001F15E7" w:rsidRPr="008F7BFA">
        <w:rPr>
          <w:rStyle w:val="sb8d990e2"/>
          <w:lang w:val="fr-FR"/>
        </w:rPr>
        <w:t>il y ait u</w:t>
      </w:r>
      <w:r w:rsidR="001F15E7">
        <w:rPr>
          <w:rStyle w:val="sb8d990e2"/>
          <w:lang w:val="fr-FR"/>
        </w:rPr>
        <w:t>ne enquête officielle effective</w:t>
      </w:r>
      <w:r w:rsidR="004A51F8" w:rsidRPr="004A51F8">
        <w:rPr>
          <w:lang w:val="fr-FR"/>
        </w:rPr>
        <w:t>. Cette enquête doit pouvoir mener à l</w:t>
      </w:r>
      <w:r w:rsidR="00603708">
        <w:rPr>
          <w:lang w:val="fr-FR"/>
        </w:rPr>
        <w:t>’</w:t>
      </w:r>
      <w:r w:rsidR="004A51F8" w:rsidRPr="004A51F8">
        <w:rPr>
          <w:lang w:val="fr-FR"/>
        </w:rPr>
        <w:t>identification et</w:t>
      </w:r>
      <w:r w:rsidR="00D320BF">
        <w:rPr>
          <w:lang w:val="fr-FR"/>
        </w:rPr>
        <w:t xml:space="preserve"> à la punition des responsables</w:t>
      </w:r>
      <w:r w:rsidR="003D70F8">
        <w:rPr>
          <w:lang w:val="fr-FR"/>
        </w:rPr>
        <w:t>.</w:t>
      </w:r>
      <w:r w:rsidR="004A51F8" w:rsidRPr="004A51F8">
        <w:rPr>
          <w:lang w:val="fr-FR"/>
        </w:rPr>
        <w:t xml:space="preserve"> S</w:t>
      </w:r>
      <w:r w:rsidR="00603708">
        <w:rPr>
          <w:lang w:val="fr-FR"/>
        </w:rPr>
        <w:t>’</w:t>
      </w:r>
      <w:r w:rsidR="004A51F8" w:rsidRPr="004A51F8">
        <w:rPr>
          <w:lang w:val="fr-FR"/>
        </w:rPr>
        <w:t>il n</w:t>
      </w:r>
      <w:r w:rsidR="00603708">
        <w:rPr>
          <w:lang w:val="fr-FR"/>
        </w:rPr>
        <w:t>’</w:t>
      </w:r>
      <w:r w:rsidR="004A51F8" w:rsidRPr="004A51F8">
        <w:rPr>
          <w:lang w:val="fr-FR"/>
        </w:rPr>
        <w:t>en allait pas ainsi, nonobstant son importance fondamentale, l</w:t>
      </w:r>
      <w:r w:rsidR="00603708">
        <w:rPr>
          <w:lang w:val="fr-FR"/>
        </w:rPr>
        <w:t>’</w:t>
      </w:r>
      <w:r w:rsidR="004A51F8" w:rsidRPr="004A51F8">
        <w:rPr>
          <w:lang w:val="fr-FR"/>
        </w:rPr>
        <w:t>interdiction légale générale de la torture et des peines ou traitements inhumains ou dégradants serait inefficace en pratique et il serait possible dans certains cas à des agents de l</w:t>
      </w:r>
      <w:r w:rsidR="00603708">
        <w:rPr>
          <w:lang w:val="fr-FR"/>
        </w:rPr>
        <w:t>’</w:t>
      </w:r>
      <w:r w:rsidR="004A51F8" w:rsidRPr="004A51F8">
        <w:rPr>
          <w:lang w:val="fr-FR"/>
        </w:rPr>
        <w:t>État de fouler aux pieds, en jouissant d</w:t>
      </w:r>
      <w:r w:rsidR="00603708">
        <w:rPr>
          <w:lang w:val="fr-FR"/>
        </w:rPr>
        <w:t>’</w:t>
      </w:r>
      <w:r w:rsidR="004A51F8" w:rsidRPr="004A51F8">
        <w:rPr>
          <w:lang w:val="fr-FR"/>
        </w:rPr>
        <w:t>une quasi-impunité, les droits de ceux soumis à leur contrôle</w:t>
      </w:r>
      <w:r w:rsidR="00F25F99">
        <w:rPr>
          <w:lang w:val="fr-FR"/>
        </w:rPr>
        <w:t xml:space="preserve"> </w:t>
      </w:r>
      <w:r w:rsidR="00F25F99" w:rsidRPr="004A51F8">
        <w:rPr>
          <w:lang w:val="fr-FR"/>
        </w:rPr>
        <w:t>(</w:t>
      </w:r>
      <w:r w:rsidR="00F25F99">
        <w:rPr>
          <w:lang w:val="fr-FR"/>
        </w:rPr>
        <w:t>voir, parmi maint</w:t>
      </w:r>
      <w:r w:rsidR="00B34AF4">
        <w:rPr>
          <w:lang w:val="fr-FR"/>
        </w:rPr>
        <w:t xml:space="preserve">s </w:t>
      </w:r>
      <w:r w:rsidR="00F25F99">
        <w:rPr>
          <w:lang w:val="fr-FR"/>
        </w:rPr>
        <w:t xml:space="preserve">autres arrêts, </w:t>
      </w:r>
      <w:r w:rsidR="00F25F99" w:rsidRPr="00AC0DAF">
        <w:rPr>
          <w:i/>
          <w:lang w:val="fr-FR"/>
        </w:rPr>
        <w:t>Assenov et autres c. Bulgarie</w:t>
      </w:r>
      <w:r w:rsidR="00F25F99" w:rsidRPr="00AC0DAF">
        <w:rPr>
          <w:lang w:val="fr-FR"/>
        </w:rPr>
        <w:t xml:space="preserve">, 28 octobre 1998, § 102, </w:t>
      </w:r>
      <w:r w:rsidR="00F25F99" w:rsidRPr="00AC0DAF">
        <w:rPr>
          <w:i/>
          <w:lang w:val="fr-FR"/>
        </w:rPr>
        <w:t xml:space="preserve">Recueil </w:t>
      </w:r>
      <w:r w:rsidR="00F25F99" w:rsidRPr="00AC0DAF">
        <w:rPr>
          <w:lang w:val="fr-FR"/>
        </w:rPr>
        <w:t>1998</w:t>
      </w:r>
      <w:r w:rsidR="00F25F99" w:rsidRPr="00AC0DAF">
        <w:rPr>
          <w:lang w:val="fr-FR"/>
        </w:rPr>
        <w:noBreakHyphen/>
        <w:t>VIII</w:t>
      </w:r>
      <w:r w:rsidR="00B34AF4">
        <w:rPr>
          <w:lang w:val="fr-FR"/>
        </w:rPr>
        <w:t>,</w:t>
      </w:r>
      <w:r w:rsidR="00F25F99" w:rsidRPr="00AC0DAF">
        <w:rPr>
          <w:lang w:val="fr-FR"/>
        </w:rPr>
        <w:t xml:space="preserve"> </w:t>
      </w:r>
      <w:r w:rsidR="00F25F99" w:rsidRPr="00AC0DAF">
        <w:rPr>
          <w:i/>
          <w:lang w:val="fr-FR"/>
        </w:rPr>
        <w:t>Labita</w:t>
      </w:r>
      <w:r w:rsidR="00F25F99" w:rsidRPr="00AC0DAF">
        <w:rPr>
          <w:lang w:val="fr-FR"/>
        </w:rPr>
        <w:t>, précité, § 131</w:t>
      </w:r>
      <w:r w:rsidR="00B34AF4">
        <w:rPr>
          <w:lang w:val="fr-FR"/>
        </w:rPr>
        <w:t>,</w:t>
      </w:r>
      <w:r w:rsidR="00F25F99" w:rsidRPr="00AC0DAF">
        <w:rPr>
          <w:i/>
          <w:lang w:val="fr-FR"/>
        </w:rPr>
        <w:t xml:space="preserve"> Krastanov</w:t>
      </w:r>
      <w:r w:rsidR="00F25F99" w:rsidRPr="00AC0DAF">
        <w:rPr>
          <w:lang w:val="fr-FR"/>
        </w:rPr>
        <w:t>, précité, § 57</w:t>
      </w:r>
      <w:r w:rsidR="00B34AF4">
        <w:rPr>
          <w:lang w:val="fr-FR"/>
        </w:rPr>
        <w:t>,</w:t>
      </w:r>
      <w:r w:rsidR="00F25F99" w:rsidRPr="00AC0DAF">
        <w:rPr>
          <w:lang w:val="fr-FR"/>
        </w:rPr>
        <w:t xml:space="preserve"> </w:t>
      </w:r>
      <w:r w:rsidR="00F25F99" w:rsidRPr="00AC0DAF">
        <w:rPr>
          <w:i/>
          <w:lang w:val="fr-FR"/>
        </w:rPr>
        <w:t>Vladimir Romanov</w:t>
      </w:r>
      <w:r w:rsidR="00F25F99" w:rsidRPr="00AC0DAF">
        <w:rPr>
          <w:lang w:val="fr-FR"/>
        </w:rPr>
        <w:t>, précité, § 81</w:t>
      </w:r>
      <w:r w:rsidR="00B34AF4">
        <w:rPr>
          <w:lang w:val="fr-FR"/>
        </w:rPr>
        <w:t xml:space="preserve">, </w:t>
      </w:r>
      <w:r w:rsidR="00F25F99" w:rsidRPr="00AC0DAF">
        <w:rPr>
          <w:i/>
          <w:lang w:val="fr-FR"/>
        </w:rPr>
        <w:t>Ali et Ayşe</w:t>
      </w:r>
      <w:r w:rsidR="00F25F99" w:rsidRPr="00AC0DAF">
        <w:rPr>
          <w:lang w:val="fr-FR"/>
        </w:rPr>
        <w:t xml:space="preserve"> </w:t>
      </w:r>
      <w:bookmarkStart w:id="8" w:name="File6"/>
      <w:r w:rsidR="00F25F99" w:rsidRPr="00AC0DAF">
        <w:rPr>
          <w:i/>
          <w:lang w:val="fr-FR"/>
        </w:rPr>
        <w:t>Duran</w:t>
      </w:r>
      <w:bookmarkEnd w:id="8"/>
      <w:r w:rsidR="00F25F99" w:rsidRPr="00AC0DAF">
        <w:rPr>
          <w:i/>
          <w:lang w:val="fr-FR"/>
        </w:rPr>
        <w:t xml:space="preserve"> c. Turquie</w:t>
      </w:r>
      <w:r w:rsidR="00F25F99" w:rsidRPr="00AC0DAF">
        <w:rPr>
          <w:lang w:val="fr-FR"/>
        </w:rPr>
        <w:t xml:space="preserve">, </w:t>
      </w:r>
      <w:r w:rsidR="00B34AF4" w:rsidRPr="00AC0DAF">
        <w:rPr>
          <w:lang w:val="fr-FR"/>
        </w:rPr>
        <w:t>n</w:t>
      </w:r>
      <w:r w:rsidR="00B34AF4" w:rsidRPr="00AC0DAF">
        <w:rPr>
          <w:vertAlign w:val="superscript"/>
          <w:lang w:val="fr-FR"/>
        </w:rPr>
        <w:t>o</w:t>
      </w:r>
      <w:r w:rsidR="00B34AF4">
        <w:rPr>
          <w:lang w:val="fr-FR"/>
        </w:rPr>
        <w:t> </w:t>
      </w:r>
      <w:r w:rsidR="00F25F99" w:rsidRPr="00AC0DAF">
        <w:rPr>
          <w:lang w:val="fr-FR"/>
        </w:rPr>
        <w:t>42942/02, § 60, 8 avril 2008</w:t>
      </w:r>
      <w:r w:rsidR="00B34AF4">
        <w:rPr>
          <w:lang w:val="fr-FR"/>
        </w:rPr>
        <w:t>,</w:t>
      </w:r>
      <w:r w:rsidR="00F25F99" w:rsidRPr="00AC0DAF">
        <w:rPr>
          <w:lang w:val="fr-FR"/>
        </w:rPr>
        <w:t xml:space="preserve"> </w:t>
      </w:r>
      <w:r w:rsidR="00F25F99" w:rsidRPr="00AC0DAF">
        <w:rPr>
          <w:rStyle w:val="JuParaChar"/>
          <w:i/>
          <w:lang w:val="fr-FR"/>
        </w:rPr>
        <w:t>Georgiy Bykov</w:t>
      </w:r>
      <w:r w:rsidR="00652518" w:rsidRPr="00AC0DAF">
        <w:rPr>
          <w:rStyle w:val="JuParaChar"/>
          <w:lang w:val="fr-FR"/>
        </w:rPr>
        <w:t>,</w:t>
      </w:r>
      <w:r w:rsidR="00F25F99" w:rsidRPr="00AC0DAF">
        <w:rPr>
          <w:rStyle w:val="JuParaChar"/>
          <w:i/>
          <w:lang w:val="fr-FR"/>
        </w:rPr>
        <w:t xml:space="preserve"> </w:t>
      </w:r>
      <w:r w:rsidR="00652518" w:rsidRPr="00AC0DAF">
        <w:rPr>
          <w:rStyle w:val="JuParaChar"/>
          <w:lang w:val="fr-FR"/>
        </w:rPr>
        <w:t>précité</w:t>
      </w:r>
      <w:r w:rsidR="00F25F99" w:rsidRPr="00AC0DAF">
        <w:rPr>
          <w:rStyle w:val="JuParaChar"/>
          <w:lang w:val="fr-FR"/>
        </w:rPr>
        <w:t>, § 60</w:t>
      </w:r>
      <w:r w:rsidR="00B34AF4">
        <w:rPr>
          <w:rStyle w:val="JuParaChar"/>
          <w:lang w:val="fr-FR"/>
        </w:rPr>
        <w:t>,</w:t>
      </w:r>
      <w:r w:rsidR="00F25F99" w:rsidRPr="00A90C83">
        <w:rPr>
          <w:rStyle w:val="JuParaChar"/>
          <w:lang w:val="fr-FR"/>
        </w:rPr>
        <w:t xml:space="preserve"> </w:t>
      </w:r>
      <w:r w:rsidR="00F25F99" w:rsidRPr="00AC0DAF">
        <w:rPr>
          <w:i/>
          <w:lang w:val="fr-FR"/>
        </w:rPr>
        <w:t>El-Masri</w:t>
      </w:r>
      <w:r w:rsidR="00F25F99" w:rsidRPr="00AC0DAF">
        <w:rPr>
          <w:lang w:val="fr-FR"/>
        </w:rPr>
        <w:t>, précité, §§ 182 et 185 ainsi que les autres références qu</w:t>
      </w:r>
      <w:r w:rsidR="00B34AF4">
        <w:rPr>
          <w:lang w:val="fr-FR"/>
        </w:rPr>
        <w:t xml:space="preserve">i </w:t>
      </w:r>
      <w:r w:rsidR="00F25F99" w:rsidRPr="00AC0DAF">
        <w:rPr>
          <w:lang w:val="fr-FR"/>
        </w:rPr>
        <w:t>y figurent</w:t>
      </w:r>
      <w:r w:rsidR="00B34AF4">
        <w:rPr>
          <w:lang w:val="fr-FR"/>
        </w:rPr>
        <w:t>,</w:t>
      </w:r>
      <w:r w:rsidR="00F25F99" w:rsidRPr="00AC0DAF">
        <w:rPr>
          <w:lang w:val="fr-FR"/>
        </w:rPr>
        <w:t xml:space="preserve"> </w:t>
      </w:r>
      <w:r w:rsidR="00F25F99" w:rsidRPr="00AC0DAF">
        <w:rPr>
          <w:i/>
          <w:lang w:val="fr-FR"/>
        </w:rPr>
        <w:t>Dembele</w:t>
      </w:r>
      <w:r w:rsidR="00F25F99" w:rsidRPr="00AC0DAF">
        <w:rPr>
          <w:lang w:val="fr-FR"/>
        </w:rPr>
        <w:t>, précité, § 62</w:t>
      </w:r>
      <w:r w:rsidR="00B34AF4">
        <w:rPr>
          <w:lang w:val="fr-FR"/>
        </w:rPr>
        <w:t>,</w:t>
      </w:r>
      <w:r w:rsidR="00F25F99" w:rsidRPr="00AC0DAF">
        <w:rPr>
          <w:lang w:val="fr-FR"/>
        </w:rPr>
        <w:t xml:space="preserve"> </w:t>
      </w:r>
      <w:r w:rsidR="00F25F99" w:rsidRPr="00AC0DAF">
        <w:rPr>
          <w:i/>
          <w:lang w:val="fr-FR"/>
        </w:rPr>
        <w:t>Alberti</w:t>
      </w:r>
      <w:r w:rsidR="00F25F99" w:rsidRPr="00AC0DAF">
        <w:rPr>
          <w:lang w:val="fr-FR"/>
        </w:rPr>
        <w:t>, précité, § 62</w:t>
      </w:r>
      <w:r w:rsidR="00B34AF4">
        <w:rPr>
          <w:lang w:val="fr-FR"/>
        </w:rPr>
        <w:t>,</w:t>
      </w:r>
      <w:r w:rsidR="008904F2" w:rsidRPr="00AC0DAF">
        <w:rPr>
          <w:lang w:val="fr-FR"/>
        </w:rPr>
        <w:t xml:space="preserve"> </w:t>
      </w:r>
      <w:r w:rsidR="008904F2" w:rsidRPr="00AC0DAF">
        <w:rPr>
          <w:i/>
          <w:lang w:val="fr-FR"/>
        </w:rPr>
        <w:t>Saba</w:t>
      </w:r>
      <w:r w:rsidR="008904F2" w:rsidRPr="00AC0DAF">
        <w:rPr>
          <w:lang w:val="fr-FR"/>
        </w:rPr>
        <w:t xml:space="preserve">, précité, § </w:t>
      </w:r>
      <w:r w:rsidR="00A747D4" w:rsidRPr="00AC0DAF">
        <w:rPr>
          <w:lang w:val="fr-FR"/>
        </w:rPr>
        <w:t>76</w:t>
      </w:r>
      <w:r w:rsidR="00B34AF4">
        <w:rPr>
          <w:lang w:val="fr-FR"/>
        </w:rPr>
        <w:t>, et</w:t>
      </w:r>
      <w:r w:rsidR="00F74034" w:rsidRPr="00AC0DAF">
        <w:rPr>
          <w:lang w:val="fr-FR"/>
        </w:rPr>
        <w:t xml:space="preserve"> </w:t>
      </w:r>
      <w:r w:rsidR="00F74034" w:rsidRPr="00AC0DAF">
        <w:rPr>
          <w:i/>
          <w:lang w:val="fr-FR"/>
        </w:rPr>
        <w:t>Dimitrov</w:t>
      </w:r>
      <w:r w:rsidR="00F74034" w:rsidRPr="00AC0DAF">
        <w:rPr>
          <w:lang w:val="fr-FR"/>
        </w:rPr>
        <w:t xml:space="preserve"> </w:t>
      </w:r>
      <w:r w:rsidR="00F74034" w:rsidRPr="00AC0DAF">
        <w:rPr>
          <w:i/>
          <w:lang w:val="fr-FR"/>
        </w:rPr>
        <w:t>et autres c. Bulgarie</w:t>
      </w:r>
      <w:r w:rsidR="00F74034" w:rsidRPr="00AC0DAF">
        <w:rPr>
          <w:lang w:val="fr-FR"/>
        </w:rPr>
        <w:t>, n</w:t>
      </w:r>
      <w:r w:rsidR="00F74034" w:rsidRPr="00AC0DAF">
        <w:rPr>
          <w:vertAlign w:val="superscript"/>
          <w:lang w:val="fr-FR"/>
        </w:rPr>
        <w:t>o</w:t>
      </w:r>
      <w:r w:rsidR="00F74034" w:rsidRPr="00AC0DAF">
        <w:rPr>
          <w:lang w:val="fr-FR"/>
        </w:rPr>
        <w:t xml:space="preserve"> 77938/11</w:t>
      </w:r>
      <w:r w:rsidR="00F74034" w:rsidRPr="00AC0DAF">
        <w:rPr>
          <w:snapToGrid w:val="0"/>
          <w:lang w:val="fr-FR"/>
        </w:rPr>
        <w:t>, § 135, 1</w:t>
      </w:r>
      <w:r w:rsidR="00B34AF4" w:rsidRPr="000B5793">
        <w:rPr>
          <w:snapToGrid w:val="0"/>
          <w:vertAlign w:val="superscript"/>
          <w:lang w:val="fr-FR"/>
        </w:rPr>
        <w:t>er</w:t>
      </w:r>
      <w:r w:rsidR="00936E6F">
        <w:rPr>
          <w:snapToGrid w:val="0"/>
          <w:lang w:val="fr-FR"/>
        </w:rPr>
        <w:t> </w:t>
      </w:r>
      <w:r w:rsidR="00F74034" w:rsidRPr="00AC0DAF">
        <w:rPr>
          <w:lang w:val="fr-FR"/>
        </w:rPr>
        <w:t>juillet</w:t>
      </w:r>
      <w:r w:rsidR="00F74034" w:rsidRPr="00AC0DAF">
        <w:rPr>
          <w:snapToGrid w:val="0"/>
          <w:lang w:val="fr-FR"/>
        </w:rPr>
        <w:t xml:space="preserve"> 2014</w:t>
      </w:r>
      <w:r w:rsidR="00F25F99" w:rsidRPr="00A90C83">
        <w:rPr>
          <w:lang w:val="fr-FR"/>
        </w:rPr>
        <w:t>)</w:t>
      </w:r>
      <w:r w:rsidR="004A51F8" w:rsidRPr="00A90C83">
        <w:rPr>
          <w:lang w:val="fr-FR"/>
        </w:rPr>
        <w:t>.</w:t>
      </w:r>
    </w:p>
    <w:p w:rsidR="0032468C" w:rsidRDefault="00010CFD" w:rsidP="00171028">
      <w:pPr>
        <w:pStyle w:val="ECHRPara"/>
        <w:ind w:firstLine="426"/>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205</w:t>
      </w:r>
      <w:r>
        <w:rPr>
          <w:lang w:val="fr-FR"/>
        </w:rPr>
        <w:fldChar w:fldCharType="end"/>
      </w:r>
      <w:r>
        <w:rPr>
          <w:lang w:val="fr-FR"/>
        </w:rPr>
        <w:t>.  </w:t>
      </w:r>
      <w:r w:rsidR="004A51F8" w:rsidRPr="004A51F8">
        <w:rPr>
          <w:lang w:val="fr-FR"/>
        </w:rPr>
        <w:t>D</w:t>
      </w:r>
      <w:r w:rsidR="00603708">
        <w:rPr>
          <w:lang w:val="fr-FR"/>
        </w:rPr>
        <w:t>’</w:t>
      </w:r>
      <w:r w:rsidR="004A51F8" w:rsidRPr="004A51F8">
        <w:rPr>
          <w:lang w:val="fr-FR"/>
        </w:rPr>
        <w:t xml:space="preserve">abord, </w:t>
      </w:r>
      <w:r w:rsidR="0047268F">
        <w:rPr>
          <w:lang w:val="fr-FR"/>
        </w:rPr>
        <w:t>pour</w:t>
      </w:r>
      <w:r w:rsidR="0047268F" w:rsidRPr="004A51F8">
        <w:rPr>
          <w:lang w:val="fr-FR"/>
        </w:rPr>
        <w:t xml:space="preserve"> </w:t>
      </w:r>
      <w:r w:rsidR="004A51F8" w:rsidRPr="004A51F8">
        <w:rPr>
          <w:lang w:val="fr-FR"/>
        </w:rPr>
        <w:t>qu</w:t>
      </w:r>
      <w:r w:rsidR="00603708">
        <w:rPr>
          <w:lang w:val="fr-FR"/>
        </w:rPr>
        <w:t>’</w:t>
      </w:r>
      <w:r w:rsidR="004A51F8" w:rsidRPr="004A51F8">
        <w:rPr>
          <w:lang w:val="fr-FR"/>
        </w:rPr>
        <w:t>une enquête soit effective et permette d</w:t>
      </w:r>
      <w:r w:rsidR="00603708">
        <w:rPr>
          <w:lang w:val="fr-FR"/>
        </w:rPr>
        <w:t>’</w:t>
      </w:r>
      <w:r w:rsidR="004A51F8" w:rsidRPr="004A51F8">
        <w:rPr>
          <w:lang w:val="fr-FR"/>
        </w:rPr>
        <w:t xml:space="preserve">identifier et de poursuivre les responsables, elle doit être entamée et menée </w:t>
      </w:r>
      <w:r w:rsidR="0047268F">
        <w:rPr>
          <w:lang w:val="fr-FR"/>
        </w:rPr>
        <w:t xml:space="preserve">avec célérité </w:t>
      </w:r>
      <w:r w:rsidR="00D06BAC">
        <w:rPr>
          <w:lang w:val="fr-FR"/>
        </w:rPr>
        <w:t>(</w:t>
      </w:r>
      <w:r w:rsidR="00D06BAC" w:rsidRPr="00AC0DAF">
        <w:rPr>
          <w:i/>
          <w:lang w:val="fr-FR"/>
        </w:rPr>
        <w:t>Gäfgen</w:t>
      </w:r>
      <w:r w:rsidR="00D06BAC" w:rsidRPr="00AC0DAF">
        <w:rPr>
          <w:lang w:val="fr-FR"/>
        </w:rPr>
        <w:t>, précité, § 121</w:t>
      </w:r>
      <w:r w:rsidR="0047268F">
        <w:rPr>
          <w:lang w:val="fr-FR"/>
        </w:rPr>
        <w:t>,</w:t>
      </w:r>
      <w:r w:rsidR="00D06BAC" w:rsidRPr="00AC0DAF">
        <w:rPr>
          <w:lang w:val="fr-FR"/>
        </w:rPr>
        <w:t xml:space="preserve"> ainsi que les autres références qu</w:t>
      </w:r>
      <w:r w:rsidR="0047268F">
        <w:rPr>
          <w:lang w:val="fr-FR"/>
        </w:rPr>
        <w:t xml:space="preserve">i </w:t>
      </w:r>
      <w:r w:rsidR="00D06BAC" w:rsidRPr="00AC0DAF">
        <w:rPr>
          <w:lang w:val="fr-FR"/>
        </w:rPr>
        <w:t>y figurent</w:t>
      </w:r>
      <w:r w:rsidR="00D06BAC" w:rsidRPr="00A90C83">
        <w:rPr>
          <w:lang w:val="fr-FR"/>
        </w:rPr>
        <w:t>)</w:t>
      </w:r>
      <w:r w:rsidR="004A51F8" w:rsidRPr="004A51F8">
        <w:rPr>
          <w:lang w:val="fr-FR"/>
        </w:rPr>
        <w:t>.</w:t>
      </w:r>
    </w:p>
    <w:p w:rsidR="00171028" w:rsidRDefault="004A51F8" w:rsidP="00171028">
      <w:pPr>
        <w:pStyle w:val="ECHRPara"/>
        <w:ind w:firstLine="426"/>
        <w:rPr>
          <w:lang w:val="fr-FR"/>
        </w:rPr>
      </w:pPr>
      <w:r w:rsidRPr="004A51F8">
        <w:rPr>
          <w:lang w:val="fr-FR"/>
        </w:rPr>
        <w:t>En outre, l</w:t>
      </w:r>
      <w:r w:rsidR="00603708">
        <w:rPr>
          <w:lang w:val="fr-FR"/>
        </w:rPr>
        <w:t>’</w:t>
      </w:r>
      <w:r w:rsidRPr="004A51F8">
        <w:rPr>
          <w:lang w:val="fr-FR"/>
        </w:rPr>
        <w:t>issue de l</w:t>
      </w:r>
      <w:r w:rsidR="00603708">
        <w:rPr>
          <w:lang w:val="fr-FR"/>
        </w:rPr>
        <w:t>’</w:t>
      </w:r>
      <w:r w:rsidRPr="004A51F8">
        <w:rPr>
          <w:lang w:val="fr-FR"/>
        </w:rPr>
        <w:t>enquête et des poursuites pénales qu</w:t>
      </w:r>
      <w:r w:rsidR="00603708">
        <w:rPr>
          <w:lang w:val="fr-FR"/>
        </w:rPr>
        <w:t>’</w:t>
      </w:r>
      <w:r w:rsidRPr="004A51F8">
        <w:rPr>
          <w:lang w:val="fr-FR"/>
        </w:rPr>
        <w:t xml:space="preserve">elle déclenche </w:t>
      </w:r>
      <w:r w:rsidR="00936E6F">
        <w:rPr>
          <w:lang w:val="fr-FR"/>
        </w:rPr>
        <w:t>de même que</w:t>
      </w:r>
      <w:r w:rsidRPr="004A51F8">
        <w:rPr>
          <w:lang w:val="fr-FR"/>
        </w:rPr>
        <w:t xml:space="preserve"> la sanction prononcée </w:t>
      </w:r>
      <w:r w:rsidR="00936E6F">
        <w:rPr>
          <w:lang w:val="fr-FR"/>
        </w:rPr>
        <w:t>et</w:t>
      </w:r>
      <w:r w:rsidRPr="004A51F8">
        <w:rPr>
          <w:lang w:val="fr-FR"/>
        </w:rPr>
        <w:t xml:space="preserve"> les mesures disciplinaires prises passent pour déterminantes. Elles sont essentielles si l</w:t>
      </w:r>
      <w:r w:rsidR="00603708">
        <w:rPr>
          <w:lang w:val="fr-FR"/>
        </w:rPr>
        <w:t>’</w:t>
      </w:r>
      <w:r w:rsidRPr="004A51F8">
        <w:rPr>
          <w:lang w:val="fr-FR"/>
        </w:rPr>
        <w:t>on veut préserver l</w:t>
      </w:r>
      <w:r w:rsidR="00603708">
        <w:rPr>
          <w:lang w:val="fr-FR"/>
        </w:rPr>
        <w:t>’</w:t>
      </w:r>
      <w:r w:rsidRPr="004A51F8">
        <w:rPr>
          <w:lang w:val="fr-FR"/>
        </w:rPr>
        <w:t>effet dissuasif du système judiciaire en place et le rôle qu</w:t>
      </w:r>
      <w:r w:rsidR="00603708">
        <w:rPr>
          <w:lang w:val="fr-FR"/>
        </w:rPr>
        <w:t>’</w:t>
      </w:r>
      <w:r w:rsidRPr="004A51F8">
        <w:rPr>
          <w:lang w:val="fr-FR"/>
        </w:rPr>
        <w:t>il est tenu d</w:t>
      </w:r>
      <w:r w:rsidR="00603708">
        <w:rPr>
          <w:lang w:val="fr-FR"/>
        </w:rPr>
        <w:t>’</w:t>
      </w:r>
      <w:r w:rsidRPr="004A51F8">
        <w:rPr>
          <w:lang w:val="fr-FR"/>
        </w:rPr>
        <w:t>exercer dans la prévention des atteintes à l</w:t>
      </w:r>
      <w:r w:rsidR="00603708">
        <w:rPr>
          <w:lang w:val="fr-FR"/>
        </w:rPr>
        <w:t>’</w:t>
      </w:r>
      <w:r w:rsidRPr="004A51F8">
        <w:rPr>
          <w:lang w:val="fr-FR"/>
        </w:rPr>
        <w:t>interdiction des mauvais traitements (</w:t>
      </w:r>
      <w:r w:rsidR="00A747D4" w:rsidRPr="00AC0DAF">
        <w:rPr>
          <w:i/>
          <w:lang w:val="fr-FR"/>
        </w:rPr>
        <w:t>Çamdereli c. Turquie</w:t>
      </w:r>
      <w:r w:rsidR="00A747D4" w:rsidRPr="00AC0DAF">
        <w:rPr>
          <w:lang w:val="fr-FR"/>
        </w:rPr>
        <w:t>, n</w:t>
      </w:r>
      <w:r w:rsidR="00A747D4" w:rsidRPr="00AC0DAF">
        <w:rPr>
          <w:vertAlign w:val="superscript"/>
          <w:lang w:val="fr-FR"/>
        </w:rPr>
        <w:t>o</w:t>
      </w:r>
      <w:r w:rsidR="00A747D4" w:rsidRPr="00AC0DAF">
        <w:rPr>
          <w:lang w:val="fr-FR"/>
        </w:rPr>
        <w:t xml:space="preserve"> 28433/02, § 38</w:t>
      </w:r>
      <w:r w:rsidR="006713B4" w:rsidRPr="00AC0DAF">
        <w:rPr>
          <w:lang w:val="fr-FR"/>
        </w:rPr>
        <w:t>, 17 juillet 200</w:t>
      </w:r>
      <w:r w:rsidR="00D06BAC" w:rsidRPr="00AC0DAF">
        <w:rPr>
          <w:lang w:val="fr-FR"/>
        </w:rPr>
        <w:t>8</w:t>
      </w:r>
      <w:r w:rsidR="006F3E6C">
        <w:rPr>
          <w:lang w:val="fr-FR"/>
        </w:rPr>
        <w:t>,</w:t>
      </w:r>
      <w:r w:rsidR="00D06BAC" w:rsidRPr="00AC0DAF">
        <w:rPr>
          <w:lang w:val="fr-FR"/>
        </w:rPr>
        <w:t xml:space="preserve"> </w:t>
      </w:r>
      <w:r w:rsidR="00A747D4" w:rsidRPr="00AC0DAF">
        <w:rPr>
          <w:i/>
          <w:lang w:val="fr-FR"/>
        </w:rPr>
        <w:t>Gäfgen</w:t>
      </w:r>
      <w:r w:rsidR="00A747D4" w:rsidRPr="00AC0DAF">
        <w:rPr>
          <w:lang w:val="fr-FR"/>
        </w:rPr>
        <w:t xml:space="preserve">, </w:t>
      </w:r>
      <w:r w:rsidR="006F3E6C" w:rsidRPr="000B5793">
        <w:rPr>
          <w:lang w:val="fr-FR"/>
        </w:rPr>
        <w:t>§ 121,</w:t>
      </w:r>
      <w:r w:rsidR="00A747D4" w:rsidRPr="00AC0DAF">
        <w:rPr>
          <w:lang w:val="fr-FR"/>
        </w:rPr>
        <w:t xml:space="preserve"> </w:t>
      </w:r>
      <w:r w:rsidR="00A747D4" w:rsidRPr="00AC0DAF">
        <w:rPr>
          <w:i/>
          <w:lang w:val="fr-FR"/>
        </w:rPr>
        <w:t>Saba</w:t>
      </w:r>
      <w:r w:rsidR="00A747D4" w:rsidRPr="00AC0DAF">
        <w:rPr>
          <w:lang w:val="fr-FR"/>
        </w:rPr>
        <w:t xml:space="preserve">, précité, § 76 ; </w:t>
      </w:r>
      <w:r w:rsidR="006713B4" w:rsidRPr="00AC0DAF">
        <w:rPr>
          <w:lang w:val="fr-FR"/>
        </w:rPr>
        <w:t>sur le terrain de l</w:t>
      </w:r>
      <w:r w:rsidR="00603708">
        <w:rPr>
          <w:lang w:val="fr-FR"/>
        </w:rPr>
        <w:t>’</w:t>
      </w:r>
      <w:r w:rsidR="006713B4" w:rsidRPr="00AC0DAF">
        <w:rPr>
          <w:lang w:val="fr-FR"/>
        </w:rPr>
        <w:t xml:space="preserve">article 2, voir aussi </w:t>
      </w:r>
      <w:r w:rsidR="0011726A" w:rsidRPr="00AC0DAF">
        <w:rPr>
          <w:i/>
          <w:lang w:val="fr-FR"/>
        </w:rPr>
        <w:t>Nikolova et Velitchkova c. Bulgarie</w:t>
      </w:r>
      <w:r w:rsidR="0011726A" w:rsidRPr="00AC0DAF">
        <w:rPr>
          <w:lang w:val="fr-FR"/>
        </w:rPr>
        <w:t>, n</w:t>
      </w:r>
      <w:r w:rsidR="0011726A" w:rsidRPr="00AC0DAF">
        <w:rPr>
          <w:vertAlign w:val="superscript"/>
          <w:lang w:val="fr-FR"/>
        </w:rPr>
        <w:t>o</w:t>
      </w:r>
      <w:r w:rsidR="0011726A" w:rsidRPr="00AC0DAF">
        <w:rPr>
          <w:lang w:val="fr-FR"/>
        </w:rPr>
        <w:t xml:space="preserve"> 7888/03, §§ 60 et suiv</w:t>
      </w:r>
      <w:r w:rsidR="006F3E6C">
        <w:rPr>
          <w:lang w:val="fr-FR"/>
        </w:rPr>
        <w:t>ants</w:t>
      </w:r>
      <w:r w:rsidR="0011726A" w:rsidRPr="00AC0DAF">
        <w:rPr>
          <w:lang w:val="fr-FR"/>
        </w:rPr>
        <w:t xml:space="preserve">, </w:t>
      </w:r>
      <w:r w:rsidR="006F3E6C" w:rsidRPr="00AC0DAF">
        <w:rPr>
          <w:lang w:val="fr-FR"/>
        </w:rPr>
        <w:t>20</w:t>
      </w:r>
      <w:r w:rsidR="006F3E6C">
        <w:rPr>
          <w:lang w:val="fr-FR"/>
        </w:rPr>
        <w:t> </w:t>
      </w:r>
      <w:r w:rsidR="0011726A" w:rsidRPr="00AC0DAF">
        <w:rPr>
          <w:lang w:val="fr-FR"/>
        </w:rPr>
        <w:t>décembre 2007</w:t>
      </w:r>
      <w:r w:rsidR="006713B4">
        <w:rPr>
          <w:lang w:val="fr-FR"/>
        </w:rPr>
        <w:t>).</w:t>
      </w:r>
    </w:p>
    <w:p w:rsidR="005805F3" w:rsidRDefault="00375877" w:rsidP="00171028">
      <w:pPr>
        <w:pStyle w:val="ECHRPara"/>
        <w:ind w:firstLine="426"/>
        <w:rPr>
          <w:i/>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206</w:t>
      </w:r>
      <w:r>
        <w:rPr>
          <w:lang w:val="fr-FR"/>
        </w:rPr>
        <w:fldChar w:fldCharType="end"/>
      </w:r>
      <w:r>
        <w:rPr>
          <w:lang w:val="fr-FR"/>
        </w:rPr>
        <w:t>.  </w:t>
      </w:r>
      <w:r w:rsidR="004A51F8" w:rsidRPr="004A51F8">
        <w:rPr>
          <w:lang w:val="fr-FR"/>
        </w:rPr>
        <w:t>Lorsque l</w:t>
      </w:r>
      <w:r w:rsidR="00603708">
        <w:rPr>
          <w:lang w:val="fr-FR"/>
        </w:rPr>
        <w:t>’</w:t>
      </w:r>
      <w:r w:rsidR="004A51F8" w:rsidRPr="004A51F8">
        <w:rPr>
          <w:lang w:val="fr-FR"/>
        </w:rPr>
        <w:t>investigation préliminaire a entraîné l</w:t>
      </w:r>
      <w:r w:rsidR="00603708">
        <w:rPr>
          <w:lang w:val="fr-FR"/>
        </w:rPr>
        <w:t>’</w:t>
      </w:r>
      <w:r w:rsidR="004A51F8" w:rsidRPr="004A51F8">
        <w:rPr>
          <w:lang w:val="fr-FR"/>
        </w:rPr>
        <w:t>ouverture de poursuites devant les juridictions nationales, c</w:t>
      </w:r>
      <w:r w:rsidR="00603708">
        <w:rPr>
          <w:lang w:val="fr-FR"/>
        </w:rPr>
        <w:t>’</w:t>
      </w:r>
      <w:r w:rsidR="004A51F8" w:rsidRPr="004A51F8">
        <w:rPr>
          <w:lang w:val="fr-FR"/>
        </w:rPr>
        <w:t>est l</w:t>
      </w:r>
      <w:r w:rsidR="00603708">
        <w:rPr>
          <w:lang w:val="fr-FR"/>
        </w:rPr>
        <w:t>’</w:t>
      </w:r>
      <w:r w:rsidR="004A51F8" w:rsidRPr="004A51F8">
        <w:rPr>
          <w:lang w:val="fr-FR"/>
        </w:rPr>
        <w:t>ensemble de la procédure, y compris la phase de jugement, qui doit satisfaire aux impératifs de l</w:t>
      </w:r>
      <w:r w:rsidR="00603708">
        <w:rPr>
          <w:lang w:val="fr-FR"/>
        </w:rPr>
        <w:t>’</w:t>
      </w:r>
      <w:r w:rsidR="004A51F8" w:rsidRPr="004A51F8">
        <w:rPr>
          <w:lang w:val="fr-FR"/>
        </w:rPr>
        <w:t xml:space="preserve">interdiction posée par cette disposition. Ainsi, les instances judiciaires internes ne doivent en aucun cas </w:t>
      </w:r>
      <w:r w:rsidR="006F3E6C">
        <w:rPr>
          <w:lang w:val="fr-FR"/>
        </w:rPr>
        <w:t>se montrer</w:t>
      </w:r>
      <w:r w:rsidR="006F3E6C" w:rsidRPr="004A51F8">
        <w:rPr>
          <w:lang w:val="fr-FR"/>
        </w:rPr>
        <w:t xml:space="preserve"> </w:t>
      </w:r>
      <w:r w:rsidR="004A51F8" w:rsidRPr="004A51F8">
        <w:rPr>
          <w:lang w:val="fr-FR"/>
        </w:rPr>
        <w:t>disposées à laisser impunies des atteintes à l</w:t>
      </w:r>
      <w:r w:rsidR="00603708">
        <w:rPr>
          <w:lang w:val="fr-FR"/>
        </w:rPr>
        <w:t>’</w:t>
      </w:r>
      <w:r w:rsidR="004A51F8" w:rsidRPr="004A51F8">
        <w:rPr>
          <w:lang w:val="fr-FR"/>
        </w:rPr>
        <w:t>intégrité physique et morale des personnes. Cela est indispensable pour maintenir la confiance du public et assurer son adhésion à l</w:t>
      </w:r>
      <w:r w:rsidR="00603708">
        <w:rPr>
          <w:lang w:val="fr-FR"/>
        </w:rPr>
        <w:t>’</w:t>
      </w:r>
      <w:r w:rsidR="004A51F8" w:rsidRPr="004A51F8">
        <w:rPr>
          <w:lang w:val="fr-FR"/>
        </w:rPr>
        <w:t>État de droit ainsi que pour prévenir toute apparence de tolérance d</w:t>
      </w:r>
      <w:r w:rsidR="00603708">
        <w:rPr>
          <w:lang w:val="fr-FR"/>
        </w:rPr>
        <w:t>’</w:t>
      </w:r>
      <w:r w:rsidR="004A51F8" w:rsidRPr="004A51F8">
        <w:rPr>
          <w:lang w:val="fr-FR"/>
        </w:rPr>
        <w:t>actes illégaux, ou de collusion dans leur perpétration (voir, sur le terrain de l</w:t>
      </w:r>
      <w:r w:rsidR="00603708">
        <w:rPr>
          <w:lang w:val="fr-FR"/>
        </w:rPr>
        <w:t>’</w:t>
      </w:r>
      <w:r w:rsidR="004A51F8" w:rsidRPr="004A51F8">
        <w:rPr>
          <w:lang w:val="fr-FR"/>
        </w:rPr>
        <w:t xml:space="preserve">article 2, </w:t>
      </w:r>
      <w:r w:rsidR="004A51F8" w:rsidRPr="00AC0DAF">
        <w:rPr>
          <w:i/>
          <w:szCs w:val="24"/>
          <w:lang w:val="fr-FR"/>
        </w:rPr>
        <w:t xml:space="preserve">Öneryıldız c. Turquie </w:t>
      </w:r>
      <w:r w:rsidR="004A51F8" w:rsidRPr="00AC0DAF">
        <w:rPr>
          <w:szCs w:val="24"/>
          <w:lang w:val="fr-FR"/>
        </w:rPr>
        <w:t>[GC], n</w:t>
      </w:r>
      <w:r w:rsidR="004A51F8" w:rsidRPr="00AC0DAF">
        <w:rPr>
          <w:szCs w:val="24"/>
          <w:vertAlign w:val="superscript"/>
          <w:lang w:val="fr-FR"/>
        </w:rPr>
        <w:t>o</w:t>
      </w:r>
      <w:r w:rsidR="004A51F8" w:rsidRPr="00AC0DAF">
        <w:rPr>
          <w:szCs w:val="24"/>
          <w:lang w:val="fr-FR"/>
        </w:rPr>
        <w:t xml:space="preserve"> 48939/99, § 96, </w:t>
      </w:r>
      <w:r w:rsidR="004A51F8" w:rsidRPr="00AC0DAF">
        <w:rPr>
          <w:lang w:val="fr-FR"/>
        </w:rPr>
        <w:t>CEDH 2004</w:t>
      </w:r>
      <w:r w:rsidR="004A51F8" w:rsidRPr="00AC0DAF">
        <w:rPr>
          <w:lang w:val="fr-FR"/>
        </w:rPr>
        <w:noBreakHyphen/>
        <w:t>XII</w:t>
      </w:r>
      <w:r w:rsidR="004A51F8" w:rsidRPr="004A51F8">
        <w:rPr>
          <w:lang w:val="fr-FR"/>
        </w:rPr>
        <w:t>)</w:t>
      </w:r>
      <w:r w:rsidR="004A51F8" w:rsidRPr="004A51F8">
        <w:rPr>
          <w:i/>
          <w:lang w:val="fr-FR"/>
        </w:rPr>
        <w:t>.</w:t>
      </w:r>
    </w:p>
    <w:p w:rsidR="0032468C" w:rsidRDefault="00936E6F" w:rsidP="007F55D8">
      <w:pPr>
        <w:pStyle w:val="ECHRPara"/>
        <w:rPr>
          <w:highlight w:val="green"/>
          <w:lang w:val="fr-FR"/>
        </w:rPr>
      </w:pPr>
      <w:r>
        <w:rPr>
          <w:lang w:val="fr-FR"/>
        </w:rPr>
        <w:t>L</w:t>
      </w:r>
      <w:r w:rsidR="004A51F8" w:rsidRPr="004A51F8">
        <w:rPr>
          <w:lang w:val="fr-FR"/>
        </w:rPr>
        <w:t>a tâche de la Cour consiste donc à vérifier si et dans quelle mesure les juridictions, avant de parvenir à telle ou telle conclusion, peuvent passer pour avoir soumis le cas porté devant elles à l</w:t>
      </w:r>
      <w:r w:rsidR="00603708">
        <w:rPr>
          <w:lang w:val="fr-FR"/>
        </w:rPr>
        <w:t>’</w:t>
      </w:r>
      <w:r w:rsidR="004A51F8" w:rsidRPr="004A51F8">
        <w:rPr>
          <w:lang w:val="fr-FR"/>
        </w:rPr>
        <w:t>examen scrupuleux que demande l</w:t>
      </w:r>
      <w:r w:rsidR="00603708">
        <w:rPr>
          <w:lang w:val="fr-FR"/>
        </w:rPr>
        <w:t>’</w:t>
      </w:r>
      <w:r w:rsidR="004A51F8" w:rsidRPr="004A51F8">
        <w:rPr>
          <w:lang w:val="fr-FR"/>
        </w:rPr>
        <w:t>article 3, de manière à préserver la force de dissuasion du système judiciaire mis en place et l</w:t>
      </w:r>
      <w:r w:rsidR="00603708">
        <w:rPr>
          <w:lang w:val="fr-FR"/>
        </w:rPr>
        <w:t>’</w:t>
      </w:r>
      <w:r w:rsidR="004A51F8" w:rsidRPr="004A51F8">
        <w:rPr>
          <w:lang w:val="fr-FR"/>
        </w:rPr>
        <w:t>importance du rôle qui revient à ce dernier dans le respect de l</w:t>
      </w:r>
      <w:r w:rsidR="00603708">
        <w:rPr>
          <w:lang w:val="fr-FR"/>
        </w:rPr>
        <w:t>’</w:t>
      </w:r>
      <w:r w:rsidR="004A51F8" w:rsidRPr="004A51F8">
        <w:rPr>
          <w:lang w:val="fr-FR"/>
        </w:rPr>
        <w:t>interdiction de la torture (</w:t>
      </w:r>
      <w:r w:rsidR="004A51F8" w:rsidRPr="00AC0DAF">
        <w:rPr>
          <w:i/>
          <w:lang w:val="fr-FR"/>
        </w:rPr>
        <w:t>Okkali c</w:t>
      </w:r>
      <w:r w:rsidR="006F3E6C" w:rsidRPr="00AC0DAF">
        <w:rPr>
          <w:i/>
          <w:lang w:val="fr-FR"/>
        </w:rPr>
        <w:t>.</w:t>
      </w:r>
      <w:r w:rsidR="006F3E6C">
        <w:rPr>
          <w:i/>
          <w:lang w:val="fr-FR"/>
        </w:rPr>
        <w:t> </w:t>
      </w:r>
      <w:r w:rsidR="004A51F8" w:rsidRPr="00AC0DAF">
        <w:rPr>
          <w:i/>
          <w:lang w:val="fr-FR"/>
        </w:rPr>
        <w:t>Turquie</w:t>
      </w:r>
      <w:r w:rsidR="004A51F8" w:rsidRPr="00AC0DAF">
        <w:rPr>
          <w:lang w:val="fr-FR"/>
        </w:rPr>
        <w:t>, n</w:t>
      </w:r>
      <w:r w:rsidR="0032468C" w:rsidRPr="0032468C">
        <w:rPr>
          <w:vertAlign w:val="superscript"/>
          <w:lang w:val="fr-FR"/>
        </w:rPr>
        <w:t>o</w:t>
      </w:r>
      <w:r w:rsidR="00F955EE">
        <w:rPr>
          <w:vertAlign w:val="superscript"/>
          <w:lang w:val="fr-FR"/>
        </w:rPr>
        <w:t> </w:t>
      </w:r>
      <w:r w:rsidR="004A51F8" w:rsidRPr="00AC0DAF">
        <w:rPr>
          <w:lang w:val="fr-FR"/>
        </w:rPr>
        <w:t>52067/99, §§ 65-66, 17 octobre 2006</w:t>
      </w:r>
      <w:r w:rsidR="006F3E6C">
        <w:rPr>
          <w:lang w:val="fr-FR"/>
        </w:rPr>
        <w:t>,</w:t>
      </w:r>
      <w:r w:rsidR="004A51F8" w:rsidRPr="00AC0DAF">
        <w:rPr>
          <w:lang w:val="fr-FR"/>
        </w:rPr>
        <w:t xml:space="preserve"> </w:t>
      </w:r>
      <w:r w:rsidR="004A51F8" w:rsidRPr="00AC0DAF">
        <w:rPr>
          <w:i/>
          <w:lang w:val="fr-FR"/>
        </w:rPr>
        <w:t>Ali et Ayşe</w:t>
      </w:r>
      <w:r w:rsidR="004A51F8" w:rsidRPr="00AC0DAF">
        <w:rPr>
          <w:lang w:val="fr-FR"/>
        </w:rPr>
        <w:t xml:space="preserve"> </w:t>
      </w:r>
      <w:r w:rsidR="004A51F8" w:rsidRPr="00AC0DAF">
        <w:rPr>
          <w:i/>
          <w:lang w:val="fr-FR"/>
        </w:rPr>
        <w:t>Duran</w:t>
      </w:r>
      <w:r w:rsidR="004A51F8" w:rsidRPr="00AC0DAF">
        <w:rPr>
          <w:lang w:val="fr-FR"/>
        </w:rPr>
        <w:t>, précité, §§ 61-62</w:t>
      </w:r>
      <w:r w:rsidR="006F3E6C">
        <w:rPr>
          <w:lang w:val="fr-FR"/>
        </w:rPr>
        <w:t>,</w:t>
      </w:r>
      <w:r w:rsidR="007F55D8" w:rsidRPr="00AC0DAF">
        <w:rPr>
          <w:lang w:val="fr-FR"/>
        </w:rPr>
        <w:t xml:space="preserve"> </w:t>
      </w:r>
      <w:r w:rsidR="007F55D8" w:rsidRPr="00AC0DAF">
        <w:rPr>
          <w:i/>
          <w:szCs w:val="24"/>
          <w:lang w:val="fr-FR"/>
        </w:rPr>
        <w:t>Zeynep Özcan c. Turquie</w:t>
      </w:r>
      <w:r w:rsidR="007F55D8" w:rsidRPr="00AC0DAF">
        <w:rPr>
          <w:szCs w:val="24"/>
          <w:lang w:val="fr-FR"/>
        </w:rPr>
        <w:t>, n</w:t>
      </w:r>
      <w:r w:rsidR="007F55D8" w:rsidRPr="00AC0DAF">
        <w:rPr>
          <w:szCs w:val="24"/>
          <w:vertAlign w:val="superscript"/>
          <w:lang w:val="fr-FR"/>
        </w:rPr>
        <w:t>o</w:t>
      </w:r>
      <w:r w:rsidR="007F55D8" w:rsidRPr="00AC0DAF">
        <w:rPr>
          <w:szCs w:val="24"/>
          <w:lang w:val="fr-FR"/>
        </w:rPr>
        <w:t xml:space="preserve"> 45906/99, § 42, 20 février 2007</w:t>
      </w:r>
      <w:r w:rsidR="006F3E6C">
        <w:rPr>
          <w:szCs w:val="24"/>
          <w:lang w:val="fr-FR"/>
        </w:rPr>
        <w:t>, et</w:t>
      </w:r>
      <w:r w:rsidR="00F74034" w:rsidRPr="00AC0DAF">
        <w:rPr>
          <w:szCs w:val="24"/>
          <w:lang w:val="fr-FR"/>
        </w:rPr>
        <w:t xml:space="preserve"> </w:t>
      </w:r>
      <w:r w:rsidR="00F74034" w:rsidRPr="00AC0DAF">
        <w:rPr>
          <w:i/>
          <w:szCs w:val="24"/>
          <w:lang w:val="fr-FR"/>
        </w:rPr>
        <w:t>Dimitrov et autres</w:t>
      </w:r>
      <w:r w:rsidR="00F74034" w:rsidRPr="00AC0DAF">
        <w:rPr>
          <w:szCs w:val="24"/>
          <w:lang w:val="fr-FR"/>
        </w:rPr>
        <w:t>, précité, §§ 142-143</w:t>
      </w:r>
      <w:r w:rsidR="004A51F8" w:rsidRPr="004A51F8">
        <w:rPr>
          <w:lang w:val="fr-FR"/>
        </w:rPr>
        <w:t>).</w:t>
      </w:r>
    </w:p>
    <w:p w:rsidR="004A51F8" w:rsidRPr="004A51F8" w:rsidRDefault="00375877" w:rsidP="00894AA2">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207</w:t>
      </w:r>
      <w:r>
        <w:rPr>
          <w:lang w:val="fr-FR"/>
        </w:rPr>
        <w:fldChar w:fldCharType="end"/>
      </w:r>
      <w:r>
        <w:rPr>
          <w:lang w:val="fr-FR"/>
        </w:rPr>
        <w:t>.  </w:t>
      </w:r>
      <w:r w:rsidR="004A51F8" w:rsidRPr="004A51F8">
        <w:rPr>
          <w:lang w:val="fr-FR"/>
        </w:rPr>
        <w:t xml:space="preserve">Quant à la sanction pénale pour les responsables de mauvais traitements, la Cour </w:t>
      </w:r>
      <w:r w:rsidR="004D6EA8">
        <w:rPr>
          <w:lang w:val="fr-FR"/>
        </w:rPr>
        <w:t>rappelle</w:t>
      </w:r>
      <w:r w:rsidR="004A51F8" w:rsidRPr="004A51F8">
        <w:rPr>
          <w:lang w:val="fr-FR"/>
        </w:rPr>
        <w:t xml:space="preserve"> qu</w:t>
      </w:r>
      <w:r w:rsidR="00603708">
        <w:rPr>
          <w:lang w:val="fr-FR"/>
        </w:rPr>
        <w:t>’</w:t>
      </w:r>
      <w:r w:rsidR="004A51F8" w:rsidRPr="004A51F8">
        <w:rPr>
          <w:lang w:val="fr-FR"/>
        </w:rPr>
        <w:t>il ne lui incombe pas de se prononcer sur le degré de culpabilité de la personne en cause (</w:t>
      </w:r>
      <w:r w:rsidR="004A51F8" w:rsidRPr="00AC0DAF">
        <w:rPr>
          <w:lang w:val="fr-FR"/>
        </w:rPr>
        <w:t>voir, sous l</w:t>
      </w:r>
      <w:r w:rsidR="00603708">
        <w:rPr>
          <w:lang w:val="fr-FR"/>
        </w:rPr>
        <w:t>’</w:t>
      </w:r>
      <w:r w:rsidR="004A51F8" w:rsidRPr="00AC0DAF">
        <w:rPr>
          <w:lang w:val="fr-FR"/>
        </w:rPr>
        <w:t>angle de l</w:t>
      </w:r>
      <w:r w:rsidR="00603708">
        <w:rPr>
          <w:lang w:val="fr-FR"/>
        </w:rPr>
        <w:t>’</w:t>
      </w:r>
      <w:r w:rsidR="004A51F8" w:rsidRPr="00AC0DAF">
        <w:rPr>
          <w:lang w:val="fr-FR"/>
        </w:rPr>
        <w:t xml:space="preserve">article 2, </w:t>
      </w:r>
      <w:r w:rsidR="004A51F8" w:rsidRPr="00AC0DAF">
        <w:rPr>
          <w:i/>
          <w:szCs w:val="24"/>
          <w:lang w:val="fr-FR"/>
        </w:rPr>
        <w:t>Öneryıldız</w:t>
      </w:r>
      <w:r w:rsidR="004A51F8" w:rsidRPr="00AC0DAF">
        <w:rPr>
          <w:szCs w:val="24"/>
          <w:lang w:val="fr-FR"/>
        </w:rPr>
        <w:t>, précité,</w:t>
      </w:r>
      <w:r w:rsidR="004A51F8" w:rsidRPr="00AC0DAF">
        <w:rPr>
          <w:i/>
          <w:szCs w:val="24"/>
          <w:lang w:val="fr-FR"/>
        </w:rPr>
        <w:t xml:space="preserve"> </w:t>
      </w:r>
      <w:r w:rsidR="0074768B" w:rsidRPr="00AC0DAF">
        <w:rPr>
          <w:szCs w:val="24"/>
          <w:lang w:val="fr-FR"/>
        </w:rPr>
        <w:t>§ 116</w:t>
      </w:r>
      <w:r w:rsidR="006F3E6C">
        <w:rPr>
          <w:szCs w:val="24"/>
          <w:lang w:val="fr-FR"/>
        </w:rPr>
        <w:t>,</w:t>
      </w:r>
      <w:r w:rsidR="004A51F8" w:rsidRPr="00AC0DAF">
        <w:rPr>
          <w:lang w:val="fr-FR"/>
        </w:rPr>
        <w:t xml:space="preserve"> </w:t>
      </w:r>
      <w:r w:rsidR="006F3E6C">
        <w:rPr>
          <w:lang w:val="fr-FR"/>
        </w:rPr>
        <w:t xml:space="preserve">et </w:t>
      </w:r>
      <w:r w:rsidR="004A51F8" w:rsidRPr="00AC0DAF">
        <w:rPr>
          <w:i/>
          <w:szCs w:val="24"/>
          <w:lang w:val="fr-FR"/>
        </w:rPr>
        <w:t xml:space="preserve">Natchova et autres c. Bulgarie </w:t>
      </w:r>
      <w:r w:rsidR="004A51F8" w:rsidRPr="00AC0DAF">
        <w:rPr>
          <w:szCs w:val="24"/>
          <w:lang w:val="fr-FR"/>
        </w:rPr>
        <w:t xml:space="preserve">[GC], </w:t>
      </w:r>
      <w:r w:rsidR="006F3E6C" w:rsidRPr="00AC0DAF">
        <w:rPr>
          <w:szCs w:val="24"/>
          <w:lang w:val="fr-FR"/>
        </w:rPr>
        <w:t>n</w:t>
      </w:r>
      <w:r w:rsidR="006F3E6C" w:rsidRPr="00AC0DAF">
        <w:rPr>
          <w:rFonts w:ascii="Times New (W1)" w:hAnsi="Times New (W1)"/>
          <w:szCs w:val="24"/>
          <w:vertAlign w:val="superscript"/>
          <w:lang w:val="fr-FR"/>
        </w:rPr>
        <w:t>os</w:t>
      </w:r>
      <w:r w:rsidR="006F3E6C">
        <w:rPr>
          <w:szCs w:val="24"/>
          <w:lang w:val="fr-FR"/>
        </w:rPr>
        <w:t> </w:t>
      </w:r>
      <w:r w:rsidR="004A51F8" w:rsidRPr="00AC0DAF">
        <w:rPr>
          <w:szCs w:val="24"/>
          <w:lang w:val="fr-FR"/>
        </w:rPr>
        <w:t xml:space="preserve">43577/98 et 43579/98, § 147, </w:t>
      </w:r>
      <w:r w:rsidR="004A51F8" w:rsidRPr="00AC0DAF">
        <w:rPr>
          <w:lang w:val="fr-FR"/>
        </w:rPr>
        <w:t>CEDH 2005</w:t>
      </w:r>
      <w:r w:rsidR="004A51F8" w:rsidRPr="00AC0DAF">
        <w:rPr>
          <w:lang w:val="fr-FR"/>
        </w:rPr>
        <w:noBreakHyphen/>
        <w:t>VII</w:t>
      </w:r>
      <w:r w:rsidR="004A51F8" w:rsidRPr="004A51F8">
        <w:rPr>
          <w:lang w:val="fr-FR"/>
        </w:rPr>
        <w:t>) ou de déterminer la peine à infliger, ces matières relevant de la compétence exclusive des tribunaux répressifs internes. Toutefois, en vertu de l</w:t>
      </w:r>
      <w:r w:rsidR="00603708">
        <w:rPr>
          <w:lang w:val="fr-FR"/>
        </w:rPr>
        <w:t>’</w:t>
      </w:r>
      <w:r w:rsidR="004A51F8" w:rsidRPr="004A51F8">
        <w:rPr>
          <w:lang w:val="fr-FR"/>
        </w:rPr>
        <w:t>article 19 de la Convention et conformément au principe voulant que la Convention garantisse des droits non pas théoriques ou illusoires, mais concrets et effectifs, la Cour doit s</w:t>
      </w:r>
      <w:r w:rsidR="00603708">
        <w:rPr>
          <w:lang w:val="fr-FR"/>
        </w:rPr>
        <w:t>’</w:t>
      </w:r>
      <w:r w:rsidR="004A51F8" w:rsidRPr="004A51F8">
        <w:rPr>
          <w:lang w:val="fr-FR"/>
        </w:rPr>
        <w:t>assurer que l</w:t>
      </w:r>
      <w:r w:rsidR="00603708">
        <w:rPr>
          <w:lang w:val="fr-FR"/>
        </w:rPr>
        <w:t>’</w:t>
      </w:r>
      <w:r w:rsidR="004A51F8" w:rsidRPr="004A51F8">
        <w:rPr>
          <w:lang w:val="fr-FR"/>
        </w:rPr>
        <w:t>État s</w:t>
      </w:r>
      <w:r w:rsidR="00603708">
        <w:rPr>
          <w:lang w:val="fr-FR"/>
        </w:rPr>
        <w:t>’</w:t>
      </w:r>
      <w:r w:rsidR="004A51F8" w:rsidRPr="004A51F8">
        <w:rPr>
          <w:lang w:val="fr-FR"/>
        </w:rPr>
        <w:t>acquitte comme il se doit de l</w:t>
      </w:r>
      <w:r w:rsidR="00603708">
        <w:rPr>
          <w:lang w:val="fr-FR"/>
        </w:rPr>
        <w:t>’</w:t>
      </w:r>
      <w:r w:rsidR="004A51F8" w:rsidRPr="004A51F8">
        <w:rPr>
          <w:lang w:val="fr-FR"/>
        </w:rPr>
        <w:t xml:space="preserve">obligation qui lui est faite de protéger les droits des personnes relevant de sa juridiction. </w:t>
      </w:r>
      <w:r w:rsidR="006F3E6C">
        <w:rPr>
          <w:lang w:val="fr-FR"/>
        </w:rPr>
        <w:t>Par conséquent</w:t>
      </w:r>
      <w:r w:rsidR="004A51F8" w:rsidRPr="004A51F8">
        <w:rPr>
          <w:lang w:val="fr-FR"/>
        </w:rPr>
        <w:t>, la Cour « doit conserver sa fonction de contrôle et intervenir dans les cas où il existe une disproportion manifeste entre la gravité de l</w:t>
      </w:r>
      <w:r w:rsidR="00603708">
        <w:rPr>
          <w:lang w:val="fr-FR"/>
        </w:rPr>
        <w:t>’</w:t>
      </w:r>
      <w:r w:rsidR="004A51F8" w:rsidRPr="004A51F8">
        <w:rPr>
          <w:lang w:val="fr-FR"/>
        </w:rPr>
        <w:t>acte et la sanction infligée. Sinon, le devoir qu</w:t>
      </w:r>
      <w:r w:rsidR="00603708">
        <w:rPr>
          <w:lang w:val="fr-FR"/>
        </w:rPr>
        <w:t>’</w:t>
      </w:r>
      <w:r w:rsidR="004A51F8" w:rsidRPr="004A51F8">
        <w:rPr>
          <w:lang w:val="fr-FR"/>
        </w:rPr>
        <w:t>ont les États de mener une enquête effective perdrait beaucoup de son sens » (</w:t>
      </w:r>
      <w:r w:rsidR="006F3E6C">
        <w:rPr>
          <w:lang w:val="fr-FR"/>
        </w:rPr>
        <w:t xml:space="preserve">voir, </w:t>
      </w:r>
      <w:r w:rsidR="00894AA2">
        <w:rPr>
          <w:lang w:val="fr-FR"/>
        </w:rPr>
        <w:t xml:space="preserve">dans ces termes </w:t>
      </w:r>
      <w:r w:rsidR="00B41F93" w:rsidRPr="0011726A">
        <w:rPr>
          <w:lang w:val="fr-FR"/>
        </w:rPr>
        <w:t>exacts</w:t>
      </w:r>
      <w:r w:rsidR="00804575">
        <w:rPr>
          <w:lang w:val="fr-FR"/>
        </w:rPr>
        <w:t>,</w:t>
      </w:r>
      <w:r w:rsidR="00B41F93" w:rsidRPr="00AC0DAF">
        <w:rPr>
          <w:i/>
          <w:lang w:val="fr-FR"/>
        </w:rPr>
        <w:t xml:space="preserve"> </w:t>
      </w:r>
      <w:r w:rsidR="00894AA2" w:rsidRPr="00AC0DAF">
        <w:rPr>
          <w:i/>
          <w:lang w:val="fr-FR"/>
        </w:rPr>
        <w:t>Gäfgen</w:t>
      </w:r>
      <w:r w:rsidR="00894AA2" w:rsidRPr="00AC0DAF">
        <w:rPr>
          <w:lang w:val="fr-FR"/>
        </w:rPr>
        <w:t>, précité, § 123 </w:t>
      </w:r>
      <w:r w:rsidR="00894AA2" w:rsidRPr="0011726A">
        <w:rPr>
          <w:lang w:val="fr-FR"/>
        </w:rPr>
        <w:t xml:space="preserve">; </w:t>
      </w:r>
      <w:r w:rsidR="00894AA2" w:rsidRPr="00AC0DAF">
        <w:rPr>
          <w:lang w:val="fr-FR"/>
        </w:rPr>
        <w:t xml:space="preserve">voir également </w:t>
      </w:r>
      <w:r w:rsidR="00894AA2" w:rsidRPr="00AC0DAF">
        <w:rPr>
          <w:i/>
          <w:lang w:val="fr-FR"/>
        </w:rPr>
        <w:t>Ali et Ayşe</w:t>
      </w:r>
      <w:r w:rsidR="00894AA2" w:rsidRPr="00AC0DAF">
        <w:rPr>
          <w:lang w:val="fr-FR"/>
        </w:rPr>
        <w:t xml:space="preserve"> </w:t>
      </w:r>
      <w:r w:rsidR="00894AA2" w:rsidRPr="00AC0DAF">
        <w:rPr>
          <w:i/>
          <w:lang w:val="fr-FR"/>
        </w:rPr>
        <w:t>Duran</w:t>
      </w:r>
      <w:r w:rsidR="00894AA2" w:rsidRPr="000B5793">
        <w:rPr>
          <w:lang w:val="fr-FR"/>
        </w:rPr>
        <w:t>,</w:t>
      </w:r>
      <w:r w:rsidR="00894AA2" w:rsidRPr="00AC0DAF">
        <w:rPr>
          <w:i/>
          <w:lang w:val="fr-FR"/>
        </w:rPr>
        <w:t xml:space="preserve"> </w:t>
      </w:r>
      <w:r w:rsidR="00894AA2" w:rsidRPr="00AC0DAF">
        <w:rPr>
          <w:lang w:val="fr-FR"/>
        </w:rPr>
        <w:t>précité, § 66</w:t>
      </w:r>
      <w:r w:rsidR="006F3E6C">
        <w:rPr>
          <w:lang w:val="fr-FR"/>
        </w:rPr>
        <w:t>, et</w:t>
      </w:r>
      <w:r w:rsidR="00894AA2" w:rsidRPr="00AC0DAF">
        <w:rPr>
          <w:lang w:val="fr-FR"/>
        </w:rPr>
        <w:t xml:space="preserve"> </w:t>
      </w:r>
      <w:r w:rsidR="00894AA2" w:rsidRPr="00AC0DAF">
        <w:rPr>
          <w:i/>
          <w:lang w:val="fr-FR"/>
        </w:rPr>
        <w:t>Saba</w:t>
      </w:r>
      <w:r w:rsidR="00894AA2" w:rsidRPr="00AC0DAF">
        <w:rPr>
          <w:lang w:val="fr-FR"/>
        </w:rPr>
        <w:t xml:space="preserve">, précité, § 77 ; </w:t>
      </w:r>
      <w:r w:rsidR="006F3E6C">
        <w:rPr>
          <w:lang w:val="fr-FR"/>
        </w:rPr>
        <w:t>voir</w:t>
      </w:r>
      <w:r w:rsidR="00804575">
        <w:rPr>
          <w:lang w:val="fr-FR"/>
        </w:rPr>
        <w:t>,</w:t>
      </w:r>
      <w:r w:rsidR="006F3E6C">
        <w:rPr>
          <w:lang w:val="fr-FR"/>
        </w:rPr>
        <w:t xml:space="preserve"> enfin, </w:t>
      </w:r>
      <w:r w:rsidR="00894AA2" w:rsidRPr="00AC0DAF">
        <w:rPr>
          <w:lang w:val="fr-FR"/>
        </w:rPr>
        <w:t>sur le terrain de l</w:t>
      </w:r>
      <w:r w:rsidR="00603708">
        <w:rPr>
          <w:lang w:val="fr-FR"/>
        </w:rPr>
        <w:t>’</w:t>
      </w:r>
      <w:r w:rsidR="00894AA2" w:rsidRPr="00AC0DAF">
        <w:rPr>
          <w:lang w:val="fr-FR"/>
        </w:rPr>
        <w:t xml:space="preserve">article 2, </w:t>
      </w:r>
      <w:r w:rsidR="00894AA2" w:rsidRPr="00AC0DAF">
        <w:rPr>
          <w:i/>
          <w:lang w:val="fr-FR"/>
        </w:rPr>
        <w:t>Nikolova et Velitchkova</w:t>
      </w:r>
      <w:r w:rsidR="00894AA2" w:rsidRPr="00AC0DAF">
        <w:rPr>
          <w:lang w:val="fr-FR"/>
        </w:rPr>
        <w:t>,</w:t>
      </w:r>
      <w:r w:rsidR="0011726A" w:rsidRPr="00AC0DAF">
        <w:rPr>
          <w:lang w:val="fr-FR"/>
        </w:rPr>
        <w:t xml:space="preserve"> précité,</w:t>
      </w:r>
      <w:r w:rsidR="00894AA2" w:rsidRPr="00AC0DAF">
        <w:rPr>
          <w:lang w:val="fr-FR"/>
        </w:rPr>
        <w:t xml:space="preserve"> § 62</w:t>
      </w:r>
      <w:r w:rsidR="004A51F8" w:rsidRPr="004A51F8">
        <w:rPr>
          <w:lang w:val="fr-FR"/>
        </w:rPr>
        <w:t>).</w:t>
      </w:r>
    </w:p>
    <w:p w:rsidR="00942BBE" w:rsidRDefault="007F55D8" w:rsidP="00942BBE">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208</w:t>
      </w:r>
      <w:r>
        <w:rPr>
          <w:lang w:val="fr-FR"/>
        </w:rPr>
        <w:fldChar w:fldCharType="end"/>
      </w:r>
      <w:r>
        <w:rPr>
          <w:lang w:val="fr-FR"/>
        </w:rPr>
        <w:t>.  </w:t>
      </w:r>
      <w:r w:rsidR="004A51F8" w:rsidRPr="004A51F8">
        <w:rPr>
          <w:lang w:val="fr-FR"/>
        </w:rPr>
        <w:t>L</w:t>
      </w:r>
      <w:r w:rsidR="00603708">
        <w:rPr>
          <w:lang w:val="fr-FR"/>
        </w:rPr>
        <w:t>’</w:t>
      </w:r>
      <w:r w:rsidR="004A51F8" w:rsidRPr="004A51F8">
        <w:rPr>
          <w:lang w:val="fr-FR"/>
        </w:rPr>
        <w:t>appréciation du caractère adéquat de la sanction dépend donc des circonstances particulière</w:t>
      </w:r>
      <w:r w:rsidR="00804575">
        <w:rPr>
          <w:lang w:val="fr-FR"/>
        </w:rPr>
        <w:t>s</w:t>
      </w:r>
      <w:r w:rsidR="004A51F8" w:rsidRPr="004A51F8">
        <w:rPr>
          <w:lang w:val="fr-FR"/>
        </w:rPr>
        <w:t xml:space="preserve"> de l</w:t>
      </w:r>
      <w:r w:rsidR="00603708">
        <w:rPr>
          <w:lang w:val="fr-FR"/>
        </w:rPr>
        <w:t>’</w:t>
      </w:r>
      <w:r w:rsidR="004A51F8" w:rsidRPr="004A51F8">
        <w:rPr>
          <w:lang w:val="fr-FR"/>
        </w:rPr>
        <w:t>affaire donnée (</w:t>
      </w:r>
      <w:r w:rsidR="004A51F8" w:rsidRPr="00AC0DAF">
        <w:rPr>
          <w:i/>
          <w:lang w:val="fr-FR"/>
        </w:rPr>
        <w:t>İlhan</w:t>
      </w:r>
      <w:r w:rsidR="004A51F8" w:rsidRPr="00AC0DAF">
        <w:rPr>
          <w:lang w:val="fr-FR"/>
        </w:rPr>
        <w:t>, précité, § 92</w:t>
      </w:r>
      <w:r w:rsidR="004A51F8" w:rsidRPr="004A51F8">
        <w:rPr>
          <w:lang w:val="fr-FR"/>
        </w:rPr>
        <w:t>).</w:t>
      </w:r>
    </w:p>
    <w:p w:rsidR="00603708" w:rsidRDefault="00942BBE" w:rsidP="00A05675">
      <w:pPr>
        <w:pStyle w:val="ECHRPara"/>
        <w:rPr>
          <w:rFonts w:cstheme="minorHAnsi"/>
          <w:b/>
          <w:lang w:val="fr-FR"/>
        </w:rPr>
      </w:pPr>
      <w:r w:rsidRPr="0016763E">
        <w:rPr>
          <w:lang w:val="fr-FR"/>
        </w:rPr>
        <w:t>La Cour a également jugé que, en matière de torture ou de mauvais traitements infligés par des agents de l</w:t>
      </w:r>
      <w:r w:rsidR="00603708">
        <w:rPr>
          <w:lang w:val="fr-FR"/>
        </w:rPr>
        <w:t>’</w:t>
      </w:r>
      <w:r w:rsidRPr="0016763E">
        <w:rPr>
          <w:lang w:val="fr-FR"/>
        </w:rPr>
        <w:t>Etat, l</w:t>
      </w:r>
      <w:r w:rsidR="00603708">
        <w:rPr>
          <w:lang w:val="fr-FR"/>
        </w:rPr>
        <w:t>’</w:t>
      </w:r>
      <w:r w:rsidRPr="0016763E">
        <w:rPr>
          <w:lang w:val="fr-FR"/>
        </w:rPr>
        <w:t>action pénale ne devrait pas s</w:t>
      </w:r>
      <w:r w:rsidR="00603708">
        <w:rPr>
          <w:lang w:val="fr-FR"/>
        </w:rPr>
        <w:t>’</w:t>
      </w:r>
      <w:r w:rsidRPr="0016763E">
        <w:rPr>
          <w:lang w:val="fr-FR"/>
        </w:rPr>
        <w:t>éteindre par l</w:t>
      </w:r>
      <w:r w:rsidR="00603708">
        <w:rPr>
          <w:lang w:val="fr-FR"/>
        </w:rPr>
        <w:t>’</w:t>
      </w:r>
      <w:r w:rsidRPr="0016763E">
        <w:rPr>
          <w:lang w:val="fr-FR"/>
        </w:rPr>
        <w:t>effet de la prescription, de même que l</w:t>
      </w:r>
      <w:r w:rsidR="00603708">
        <w:rPr>
          <w:lang w:val="fr-FR"/>
        </w:rPr>
        <w:t>’</w:t>
      </w:r>
      <w:r w:rsidRPr="0016763E">
        <w:rPr>
          <w:lang w:val="fr-FR"/>
        </w:rPr>
        <w:t>amnistie et la grâce ne devraient pas être tolérées dans ce domaine</w:t>
      </w:r>
      <w:r w:rsidR="00527F23" w:rsidRPr="0016763E">
        <w:rPr>
          <w:lang w:val="fr-FR"/>
        </w:rPr>
        <w:t>.</w:t>
      </w:r>
      <w:r w:rsidRPr="00194A6C">
        <w:rPr>
          <w:b/>
          <w:lang w:val="fr-FR"/>
        </w:rPr>
        <w:t xml:space="preserve"> </w:t>
      </w:r>
      <w:r w:rsidRPr="0016763E">
        <w:rPr>
          <w:rFonts w:cstheme="minorHAnsi"/>
          <w:lang w:val="fr-FR"/>
        </w:rPr>
        <w:t>Au demeurant, l</w:t>
      </w:r>
      <w:r w:rsidR="00603708">
        <w:rPr>
          <w:rFonts w:cstheme="minorHAnsi"/>
          <w:lang w:val="fr-FR"/>
        </w:rPr>
        <w:t>’</w:t>
      </w:r>
      <w:r w:rsidRPr="0016763E">
        <w:rPr>
          <w:rFonts w:cstheme="minorHAnsi"/>
          <w:lang w:val="fr-FR"/>
        </w:rPr>
        <w:t>application de la prescription devrait être compatible avec les exigences de la Convention. Il est dès lors difficile d</w:t>
      </w:r>
      <w:r w:rsidR="00603708">
        <w:rPr>
          <w:rFonts w:cstheme="minorHAnsi"/>
          <w:lang w:val="fr-FR"/>
        </w:rPr>
        <w:t>’</w:t>
      </w:r>
      <w:r w:rsidRPr="0016763E">
        <w:rPr>
          <w:rFonts w:cstheme="minorHAnsi"/>
          <w:lang w:val="fr-FR"/>
        </w:rPr>
        <w:t>accepter des délais de prescriptions inflexibles ne souffrant aucune exception</w:t>
      </w:r>
      <w:r w:rsidR="00527F23" w:rsidRPr="0016763E">
        <w:rPr>
          <w:rFonts w:cstheme="minorHAnsi"/>
          <w:lang w:val="fr-FR"/>
        </w:rPr>
        <w:t xml:space="preserve"> </w:t>
      </w:r>
      <w:r w:rsidR="00527F23" w:rsidRPr="0016763E">
        <w:rPr>
          <w:rFonts w:cstheme="minorHAnsi"/>
          <w:i/>
          <w:lang w:val="fr-FR"/>
        </w:rPr>
        <w:t>(Mocanu et autres c. Roumanie</w:t>
      </w:r>
      <w:r w:rsidR="00527F23" w:rsidRPr="0016763E">
        <w:rPr>
          <w:rFonts w:cstheme="minorHAnsi"/>
          <w:lang w:val="fr-FR"/>
        </w:rPr>
        <w:t xml:space="preserve"> </w:t>
      </w:r>
      <w:r w:rsidR="00527F23" w:rsidRPr="0016763E">
        <w:rPr>
          <w:rFonts w:cstheme="minorHAnsi"/>
          <w:i/>
          <w:lang w:val="fr-FR"/>
        </w:rPr>
        <w:t xml:space="preserve">[GC] </w:t>
      </w:r>
      <w:r w:rsidR="00527F23" w:rsidRPr="0016763E">
        <w:rPr>
          <w:rFonts w:cstheme="minorHAnsi"/>
          <w:lang w:val="fr-FR"/>
        </w:rPr>
        <w:t>n</w:t>
      </w:r>
      <w:r w:rsidR="00527F23" w:rsidRPr="0016763E">
        <w:rPr>
          <w:rFonts w:cstheme="minorHAnsi"/>
          <w:vertAlign w:val="superscript"/>
          <w:lang w:val="fr-FR"/>
        </w:rPr>
        <w:t>os</w:t>
      </w:r>
      <w:r w:rsidR="00017D27" w:rsidRPr="0016763E">
        <w:rPr>
          <w:rFonts w:cstheme="minorHAnsi"/>
          <w:vertAlign w:val="superscript"/>
          <w:lang w:val="fr-FR"/>
        </w:rPr>
        <w:t> </w:t>
      </w:r>
      <w:r w:rsidR="00527F23" w:rsidRPr="0016763E">
        <w:rPr>
          <w:rFonts w:cstheme="minorHAnsi"/>
          <w:lang w:val="fr-FR"/>
        </w:rPr>
        <w:t>10865/09, 45886/07 et 32431/08, § 326 CEDH 2014 (extraits))</w:t>
      </w:r>
      <w:r w:rsidR="00017D27" w:rsidRPr="0016763E">
        <w:rPr>
          <w:rFonts w:cstheme="minorHAnsi"/>
          <w:lang w:val="fr-FR"/>
        </w:rPr>
        <w:t xml:space="preserve"> et les affaires qui y sont citées</w:t>
      </w:r>
      <w:r w:rsidR="0078707B">
        <w:rPr>
          <w:rFonts w:cstheme="minorHAnsi"/>
          <w:lang w:val="fr-FR"/>
        </w:rPr>
        <w:t>.</w:t>
      </w:r>
    </w:p>
    <w:p w:rsidR="0032468C" w:rsidRDefault="003D70F8" w:rsidP="00E34D0C">
      <w:pPr>
        <w:pStyle w:val="ECHRPara"/>
        <w:rPr>
          <w:lang w:val="fr-FR"/>
        </w:rPr>
      </w:pPr>
      <w:r w:rsidRPr="0016763E">
        <w:rPr>
          <w:lang w:val="fr-FR"/>
        </w:rPr>
        <w:t>Il en va de même</w:t>
      </w:r>
      <w:r w:rsidR="004A51F8" w:rsidRPr="00AC0DAF">
        <w:rPr>
          <w:lang w:val="fr-FR"/>
        </w:rPr>
        <w:t xml:space="preserve"> </w:t>
      </w:r>
      <w:r w:rsidR="004A51F8" w:rsidRPr="00441BF3">
        <w:rPr>
          <w:lang w:val="fr-FR"/>
        </w:rPr>
        <w:t>du sursis à l</w:t>
      </w:r>
      <w:r w:rsidR="00603708">
        <w:rPr>
          <w:lang w:val="fr-FR"/>
        </w:rPr>
        <w:t>’</w:t>
      </w:r>
      <w:r w:rsidR="004A51F8" w:rsidRPr="00441BF3">
        <w:rPr>
          <w:lang w:val="fr-FR"/>
        </w:rPr>
        <w:t xml:space="preserve">exécution de la peine </w:t>
      </w:r>
      <w:r w:rsidR="004A51F8" w:rsidRPr="00AC0DAF">
        <w:rPr>
          <w:lang w:val="fr-FR"/>
        </w:rPr>
        <w:t>(</w:t>
      </w:r>
      <w:r w:rsidR="004A51F8" w:rsidRPr="00AC0DAF">
        <w:rPr>
          <w:i/>
          <w:lang w:val="fr-FR"/>
        </w:rPr>
        <w:t>Okkali</w:t>
      </w:r>
      <w:r w:rsidR="004A51F8" w:rsidRPr="00AC0DAF">
        <w:rPr>
          <w:lang w:val="fr-FR"/>
        </w:rPr>
        <w:t xml:space="preserve">, précité, </w:t>
      </w:r>
      <w:r w:rsidR="00D8479F" w:rsidRPr="00AC0DAF">
        <w:rPr>
          <w:lang w:val="fr-FR"/>
        </w:rPr>
        <w:t>§§</w:t>
      </w:r>
      <w:r w:rsidR="00D8479F">
        <w:rPr>
          <w:lang w:val="fr-FR"/>
        </w:rPr>
        <w:t xml:space="preserve"> 74-78</w:t>
      </w:r>
      <w:r w:rsidR="006F3E6C">
        <w:rPr>
          <w:lang w:val="fr-FR"/>
        </w:rPr>
        <w:t>,</w:t>
      </w:r>
      <w:r w:rsidR="004A51F8" w:rsidRPr="00AC0DAF">
        <w:rPr>
          <w:lang w:val="fr-FR"/>
        </w:rPr>
        <w:t xml:space="preserve"> </w:t>
      </w:r>
      <w:r w:rsidR="004A51F8" w:rsidRPr="00AC0DAF">
        <w:rPr>
          <w:i/>
          <w:lang w:val="fr-FR"/>
        </w:rPr>
        <w:t>Gäfgen</w:t>
      </w:r>
      <w:r w:rsidR="004A51F8" w:rsidRPr="00AC0DAF">
        <w:rPr>
          <w:lang w:val="fr-FR"/>
        </w:rPr>
        <w:t>, précité,</w:t>
      </w:r>
      <w:r w:rsidR="006F3E6C">
        <w:rPr>
          <w:lang w:val="fr-FR"/>
        </w:rPr>
        <w:t xml:space="preserve"> </w:t>
      </w:r>
      <w:r w:rsidR="00804575" w:rsidRPr="00AC0DAF">
        <w:rPr>
          <w:lang w:val="fr-FR"/>
        </w:rPr>
        <w:t>§</w:t>
      </w:r>
      <w:r w:rsidR="00804575">
        <w:rPr>
          <w:lang w:val="fr-FR"/>
        </w:rPr>
        <w:t> </w:t>
      </w:r>
      <w:r w:rsidR="004A51F8" w:rsidRPr="00AC0DAF">
        <w:rPr>
          <w:lang w:val="fr-FR"/>
        </w:rPr>
        <w:t>124</w:t>
      </w:r>
      <w:r w:rsidR="006F3E6C">
        <w:rPr>
          <w:lang w:val="fr-FR"/>
        </w:rPr>
        <w:t>,</w:t>
      </w:r>
      <w:r w:rsidR="007F55D8" w:rsidRPr="00AC0DAF">
        <w:rPr>
          <w:lang w:val="fr-FR"/>
        </w:rPr>
        <w:t xml:space="preserve"> </w:t>
      </w:r>
      <w:r w:rsidR="007F55D8" w:rsidRPr="00AC0DAF">
        <w:rPr>
          <w:i/>
          <w:szCs w:val="24"/>
          <w:lang w:val="fr-FR"/>
        </w:rPr>
        <w:t>Zeynep Özcan</w:t>
      </w:r>
      <w:r w:rsidR="007F55D8" w:rsidRPr="00AC0DAF">
        <w:rPr>
          <w:szCs w:val="24"/>
          <w:lang w:val="fr-FR"/>
        </w:rPr>
        <w:t>, précité, § 43 ;</w:t>
      </w:r>
      <w:r w:rsidR="006F3E6C">
        <w:rPr>
          <w:szCs w:val="24"/>
          <w:lang w:val="fr-FR"/>
        </w:rPr>
        <w:t xml:space="preserve"> voir </w:t>
      </w:r>
      <w:r w:rsidR="00804575">
        <w:rPr>
          <w:szCs w:val="24"/>
          <w:lang w:val="fr-FR"/>
        </w:rPr>
        <w:t>aussi</w:t>
      </w:r>
      <w:r w:rsidR="006F3E6C">
        <w:rPr>
          <w:szCs w:val="24"/>
          <w:lang w:val="fr-FR"/>
        </w:rPr>
        <w:t>,</w:t>
      </w:r>
      <w:r w:rsidR="004A51F8" w:rsidRPr="00AC0DAF">
        <w:rPr>
          <w:i/>
          <w:lang w:val="fr-FR"/>
        </w:rPr>
        <w:t xml:space="preserve"> mutatis mutandis</w:t>
      </w:r>
      <w:r w:rsidR="006F3E6C">
        <w:rPr>
          <w:szCs w:val="24"/>
          <w:lang w:val="fr-FR"/>
        </w:rPr>
        <w:t>,</w:t>
      </w:r>
      <w:r w:rsidR="004A51F8" w:rsidRPr="00AC0DAF">
        <w:rPr>
          <w:i/>
          <w:lang w:val="fr-FR"/>
        </w:rPr>
        <w:t xml:space="preserve"> Nikolova et Velitchkova</w:t>
      </w:r>
      <w:r w:rsidR="004A51F8" w:rsidRPr="00AC0DAF">
        <w:rPr>
          <w:lang w:val="fr-FR"/>
        </w:rPr>
        <w:t>, précité, § 62)</w:t>
      </w:r>
      <w:r w:rsidR="00727935">
        <w:rPr>
          <w:lang w:val="fr-FR"/>
        </w:rPr>
        <w:t xml:space="preserve"> </w:t>
      </w:r>
      <w:r w:rsidRPr="0016763E">
        <w:rPr>
          <w:lang w:val="fr-FR"/>
        </w:rPr>
        <w:t>et</w:t>
      </w:r>
      <w:r w:rsidR="004A51F8" w:rsidRPr="00441BF3">
        <w:rPr>
          <w:lang w:val="fr-FR"/>
        </w:rPr>
        <w:t xml:space="preserve"> d</w:t>
      </w:r>
      <w:r w:rsidR="00603708">
        <w:rPr>
          <w:lang w:val="fr-FR"/>
        </w:rPr>
        <w:t>’</w:t>
      </w:r>
      <w:r w:rsidR="004A51F8" w:rsidRPr="00441BF3">
        <w:rPr>
          <w:lang w:val="fr-FR"/>
        </w:rPr>
        <w:t xml:space="preserve">une remise de peine </w:t>
      </w:r>
      <w:r w:rsidR="004A51F8" w:rsidRPr="00AC0DAF">
        <w:rPr>
          <w:lang w:val="fr-FR"/>
        </w:rPr>
        <w:t>(</w:t>
      </w:r>
      <w:r w:rsidR="004A51F8" w:rsidRPr="00AC0DAF">
        <w:rPr>
          <w:i/>
          <w:lang w:val="fr-FR"/>
        </w:rPr>
        <w:t>Abdülsamet Yaman</w:t>
      </w:r>
      <w:r w:rsidR="004A51F8" w:rsidRPr="00AC0DAF">
        <w:rPr>
          <w:lang w:val="fr-FR"/>
        </w:rPr>
        <w:t>, précité, § 5</w:t>
      </w:r>
      <w:r w:rsidR="00D36C60">
        <w:rPr>
          <w:lang w:val="fr-FR"/>
        </w:rPr>
        <w:t>5</w:t>
      </w:r>
      <w:r w:rsidR="006F3E6C">
        <w:rPr>
          <w:lang w:val="fr-FR"/>
        </w:rPr>
        <w:t>, et</w:t>
      </w:r>
      <w:r w:rsidR="004A51F8" w:rsidRPr="00AC0DAF">
        <w:rPr>
          <w:lang w:val="fr-FR"/>
        </w:rPr>
        <w:t xml:space="preserve"> </w:t>
      </w:r>
      <w:r w:rsidR="004A51F8" w:rsidRPr="00AC0DAF">
        <w:rPr>
          <w:i/>
          <w:lang w:val="fr-FR"/>
        </w:rPr>
        <w:t>Müdet Kömürcü</w:t>
      </w:r>
      <w:r w:rsidR="004A51F8" w:rsidRPr="00AC0DAF">
        <w:rPr>
          <w:lang w:val="fr-FR"/>
        </w:rPr>
        <w:t xml:space="preserve">, </w:t>
      </w:r>
      <w:r w:rsidR="006F3E6C" w:rsidRPr="00AC0DAF">
        <w:rPr>
          <w:lang w:val="fr-FR"/>
        </w:rPr>
        <w:t>§§</w:t>
      </w:r>
      <w:r w:rsidR="006F3E6C">
        <w:rPr>
          <w:lang w:val="fr-FR"/>
        </w:rPr>
        <w:t> </w:t>
      </w:r>
      <w:r w:rsidR="006F3E6C" w:rsidRPr="00AC0DAF">
        <w:rPr>
          <w:lang w:val="fr-FR"/>
        </w:rPr>
        <w:t>29-30</w:t>
      </w:r>
      <w:r w:rsidR="004A51F8" w:rsidRPr="0011726A">
        <w:rPr>
          <w:lang w:val="fr-FR"/>
        </w:rPr>
        <w:t>)</w:t>
      </w:r>
      <w:r w:rsidR="004A51F8" w:rsidRPr="004A51F8">
        <w:rPr>
          <w:lang w:val="fr-FR"/>
        </w:rPr>
        <w:t>.</w:t>
      </w:r>
    </w:p>
    <w:p w:rsidR="00715C2B" w:rsidRDefault="00375877" w:rsidP="00715C2B">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209</w:t>
      </w:r>
      <w:r>
        <w:rPr>
          <w:lang w:val="fr-FR"/>
        </w:rPr>
        <w:fldChar w:fldCharType="end"/>
      </w:r>
      <w:r w:rsidRPr="00FC2DC9">
        <w:rPr>
          <w:lang w:val="fr-FR"/>
        </w:rPr>
        <w:t>.  </w:t>
      </w:r>
      <w:r w:rsidR="004A51F8" w:rsidRPr="00FC2DC9">
        <w:rPr>
          <w:lang w:val="fr-FR"/>
        </w:rPr>
        <w:t>Pour qu</w:t>
      </w:r>
      <w:r w:rsidR="00603708">
        <w:rPr>
          <w:lang w:val="fr-FR"/>
        </w:rPr>
        <w:t>’</w:t>
      </w:r>
      <w:r w:rsidR="004A51F8" w:rsidRPr="00FC2DC9">
        <w:rPr>
          <w:lang w:val="fr-FR"/>
        </w:rPr>
        <w:t>une enquête soit effective en pratique, la condition préalable est</w:t>
      </w:r>
      <w:r w:rsidR="006F3E6C">
        <w:rPr>
          <w:lang w:val="fr-FR"/>
        </w:rPr>
        <w:t xml:space="preserve"> </w:t>
      </w:r>
      <w:r w:rsidR="004A51F8" w:rsidRPr="00FC2DC9">
        <w:rPr>
          <w:lang w:val="fr-FR"/>
        </w:rPr>
        <w:t>que l</w:t>
      </w:r>
      <w:r w:rsidR="00603708">
        <w:rPr>
          <w:lang w:val="fr-FR"/>
        </w:rPr>
        <w:t>’</w:t>
      </w:r>
      <w:r w:rsidR="004A51F8" w:rsidRPr="00FC2DC9">
        <w:rPr>
          <w:lang w:val="fr-FR"/>
        </w:rPr>
        <w:t>État ait promulgué des dispositions de droit pénal réprimant les pratiques contraires à l</w:t>
      </w:r>
      <w:r w:rsidR="00603708">
        <w:rPr>
          <w:lang w:val="fr-FR"/>
        </w:rPr>
        <w:t>’</w:t>
      </w:r>
      <w:r w:rsidR="004A51F8" w:rsidRPr="00FC2DC9">
        <w:rPr>
          <w:lang w:val="fr-FR"/>
        </w:rPr>
        <w:t xml:space="preserve">article 3 </w:t>
      </w:r>
      <w:r w:rsidR="004A51F8" w:rsidRPr="0011726A">
        <w:rPr>
          <w:lang w:val="fr-FR"/>
        </w:rPr>
        <w:t>(</w:t>
      </w:r>
      <w:r w:rsidR="004A51F8" w:rsidRPr="00AC0DAF">
        <w:rPr>
          <w:i/>
          <w:lang w:val="fr-FR"/>
        </w:rPr>
        <w:t>Gäfgen</w:t>
      </w:r>
      <w:r w:rsidR="004A51F8" w:rsidRPr="00AC0DAF">
        <w:rPr>
          <w:lang w:val="fr-FR"/>
        </w:rPr>
        <w:t>, précité, § 117</w:t>
      </w:r>
      <w:r w:rsidR="004A51F8" w:rsidRPr="0011726A">
        <w:rPr>
          <w:lang w:val="fr-FR"/>
        </w:rPr>
        <w:t>)</w:t>
      </w:r>
      <w:r w:rsidR="004A51F8" w:rsidRPr="00FC2DC9">
        <w:rPr>
          <w:lang w:val="fr-FR"/>
        </w:rPr>
        <w:t>.</w:t>
      </w:r>
      <w:r w:rsidR="00715C2B">
        <w:rPr>
          <w:lang w:val="fr-FR"/>
        </w:rPr>
        <w:t xml:space="preserve"> En</w:t>
      </w:r>
      <w:r w:rsidR="0034213D">
        <w:rPr>
          <w:lang w:val="fr-FR"/>
        </w:rPr>
        <w:t> </w:t>
      </w:r>
      <w:r w:rsidR="00715C2B">
        <w:rPr>
          <w:lang w:val="fr-FR"/>
        </w:rPr>
        <w:t>effet, l</w:t>
      </w:r>
      <w:r w:rsidR="00603708">
        <w:rPr>
          <w:lang w:val="fr-FR"/>
        </w:rPr>
        <w:t>’</w:t>
      </w:r>
      <w:r w:rsidR="00715C2B">
        <w:rPr>
          <w:lang w:val="fr-FR"/>
        </w:rPr>
        <w:t>absence d</w:t>
      </w:r>
      <w:r w:rsidR="00603708">
        <w:rPr>
          <w:lang w:val="fr-FR"/>
        </w:rPr>
        <w:t>’</w:t>
      </w:r>
      <w:r w:rsidR="00715C2B">
        <w:rPr>
          <w:lang w:val="fr-FR"/>
        </w:rPr>
        <w:t>une</w:t>
      </w:r>
      <w:r w:rsidR="00715C2B" w:rsidRPr="00715C2B">
        <w:rPr>
          <w:lang w:val="fr-FR"/>
        </w:rPr>
        <w:t xml:space="preserve"> législation pénale suffisante pour prévenir et ré</w:t>
      </w:r>
      <w:r w:rsidR="00715C2B">
        <w:rPr>
          <w:lang w:val="fr-FR"/>
        </w:rPr>
        <w:t>prim</w:t>
      </w:r>
      <w:r w:rsidR="00FE4FB4">
        <w:rPr>
          <w:lang w:val="fr-FR"/>
        </w:rPr>
        <w:t>er effectivement les auteurs d</w:t>
      </w:r>
      <w:r w:rsidR="00603708">
        <w:rPr>
          <w:lang w:val="fr-FR"/>
        </w:rPr>
        <w:t>’</w:t>
      </w:r>
      <w:r w:rsidR="00715C2B">
        <w:rPr>
          <w:lang w:val="fr-FR"/>
        </w:rPr>
        <w:t>actes contraires à l</w:t>
      </w:r>
      <w:r w:rsidR="00603708">
        <w:rPr>
          <w:lang w:val="fr-FR"/>
        </w:rPr>
        <w:t>’</w:t>
      </w:r>
      <w:r w:rsidR="00715C2B">
        <w:rPr>
          <w:lang w:val="fr-FR"/>
        </w:rPr>
        <w:t>article 3 peut empêcher</w:t>
      </w:r>
      <w:r w:rsidR="00FC2DC9">
        <w:rPr>
          <w:lang w:val="fr-FR"/>
        </w:rPr>
        <w:t xml:space="preserve"> </w:t>
      </w:r>
      <w:r w:rsidR="00FE4FB4">
        <w:rPr>
          <w:lang w:val="fr-FR"/>
        </w:rPr>
        <w:t>les</w:t>
      </w:r>
      <w:r w:rsidR="00715C2B">
        <w:rPr>
          <w:lang w:val="fr-FR"/>
        </w:rPr>
        <w:t xml:space="preserve"> autorités</w:t>
      </w:r>
      <w:r w:rsidR="00A058F2">
        <w:rPr>
          <w:lang w:val="fr-FR"/>
        </w:rPr>
        <w:t xml:space="preserve"> de</w:t>
      </w:r>
      <w:r w:rsidR="00715C2B">
        <w:rPr>
          <w:lang w:val="fr-FR"/>
        </w:rPr>
        <w:t xml:space="preserve"> poursuivre</w:t>
      </w:r>
      <w:r w:rsidR="00A058F2">
        <w:rPr>
          <w:lang w:val="fr-FR"/>
        </w:rPr>
        <w:t xml:space="preserve"> les atteintes à cette</w:t>
      </w:r>
      <w:r w:rsidR="009676A0">
        <w:rPr>
          <w:lang w:val="fr-FR"/>
        </w:rPr>
        <w:t xml:space="preserve"> valeur fondamentale</w:t>
      </w:r>
      <w:r w:rsidR="00A058F2" w:rsidRPr="008F7BFA">
        <w:rPr>
          <w:lang w:val="fr-FR"/>
        </w:rPr>
        <w:t xml:space="preserve"> des sociétés démocratiques</w:t>
      </w:r>
      <w:r w:rsidR="00A058F2">
        <w:rPr>
          <w:lang w:val="fr-FR"/>
        </w:rPr>
        <w:t>,</w:t>
      </w:r>
      <w:r w:rsidR="009676A0">
        <w:rPr>
          <w:lang w:val="fr-FR"/>
        </w:rPr>
        <w:t xml:space="preserve"> </w:t>
      </w:r>
      <w:r w:rsidR="003177A7">
        <w:rPr>
          <w:lang w:val="fr-FR"/>
        </w:rPr>
        <w:t>d</w:t>
      </w:r>
      <w:r w:rsidR="00603708">
        <w:rPr>
          <w:lang w:val="fr-FR"/>
        </w:rPr>
        <w:t>’</w:t>
      </w:r>
      <w:r w:rsidR="003177A7">
        <w:rPr>
          <w:lang w:val="fr-FR"/>
        </w:rPr>
        <w:t xml:space="preserve">en </w:t>
      </w:r>
      <w:r w:rsidR="009676A0">
        <w:rPr>
          <w:lang w:val="fr-FR"/>
        </w:rPr>
        <w:t xml:space="preserve">évaluer </w:t>
      </w:r>
      <w:r w:rsidR="003177A7">
        <w:rPr>
          <w:lang w:val="fr-FR"/>
        </w:rPr>
        <w:t>la</w:t>
      </w:r>
      <w:r w:rsidR="009676A0">
        <w:rPr>
          <w:lang w:val="fr-FR"/>
        </w:rPr>
        <w:t xml:space="preserve"> gravité, </w:t>
      </w:r>
      <w:r w:rsidR="00A058F2">
        <w:rPr>
          <w:lang w:val="fr-FR"/>
        </w:rPr>
        <w:t>de prononcer des peines adéquates et d</w:t>
      </w:r>
      <w:r w:rsidR="00603708">
        <w:rPr>
          <w:lang w:val="fr-FR"/>
        </w:rPr>
        <w:t>’</w:t>
      </w:r>
      <w:r w:rsidR="00A058F2">
        <w:rPr>
          <w:lang w:val="fr-FR"/>
        </w:rPr>
        <w:t>exclure l</w:t>
      </w:r>
      <w:r w:rsidR="00603708">
        <w:rPr>
          <w:lang w:val="fr-FR"/>
        </w:rPr>
        <w:t>’</w:t>
      </w:r>
      <w:r w:rsidR="00A058F2">
        <w:rPr>
          <w:lang w:val="fr-FR"/>
        </w:rPr>
        <w:t xml:space="preserve">application de toute mesure </w:t>
      </w:r>
      <w:r w:rsidR="003177A7">
        <w:rPr>
          <w:lang w:val="fr-FR"/>
        </w:rPr>
        <w:t>susceptible d</w:t>
      </w:r>
      <w:r w:rsidR="00603708">
        <w:rPr>
          <w:lang w:val="fr-FR"/>
        </w:rPr>
        <w:t>’</w:t>
      </w:r>
      <w:r w:rsidR="00A058F2">
        <w:rPr>
          <w:lang w:val="fr-FR"/>
        </w:rPr>
        <w:t>affaibl</w:t>
      </w:r>
      <w:r w:rsidR="003177A7">
        <w:rPr>
          <w:lang w:val="fr-FR"/>
        </w:rPr>
        <w:t>ir</w:t>
      </w:r>
      <w:r w:rsidR="00A058F2">
        <w:rPr>
          <w:lang w:val="fr-FR"/>
        </w:rPr>
        <w:t xml:space="preserve"> excessivement la sanction</w:t>
      </w:r>
      <w:r w:rsidR="009676A0">
        <w:rPr>
          <w:lang w:val="fr-FR"/>
        </w:rPr>
        <w:t>, au détriment de son effet préventif et dissuasif</w:t>
      </w:r>
      <w:r w:rsidR="00A058F2">
        <w:rPr>
          <w:lang w:val="fr-FR"/>
        </w:rPr>
        <w:t xml:space="preserve"> (</w:t>
      </w:r>
      <w:r w:rsidR="009676A0" w:rsidRPr="00AC0DAF">
        <w:rPr>
          <w:i/>
          <w:lang w:val="fr-FR"/>
        </w:rPr>
        <w:t>M.C. c. Bulgarie</w:t>
      </w:r>
      <w:r w:rsidR="009676A0" w:rsidRPr="00AC0DAF">
        <w:rPr>
          <w:lang w:val="fr-FR"/>
        </w:rPr>
        <w:t>,</w:t>
      </w:r>
      <w:r w:rsidR="009676A0" w:rsidRPr="00AC0DAF">
        <w:rPr>
          <w:i/>
          <w:lang w:val="fr-FR"/>
        </w:rPr>
        <w:t xml:space="preserve"> </w:t>
      </w:r>
      <w:r w:rsidR="009676A0" w:rsidRPr="00AC0DAF">
        <w:rPr>
          <w:lang w:val="fr-FR"/>
        </w:rPr>
        <w:t>n</w:t>
      </w:r>
      <w:r w:rsidR="009676A0" w:rsidRPr="00AC0DAF">
        <w:rPr>
          <w:vertAlign w:val="superscript"/>
          <w:lang w:val="fr-FR"/>
        </w:rPr>
        <w:t xml:space="preserve">o </w:t>
      </w:r>
      <w:r w:rsidR="009676A0" w:rsidRPr="00AC0DAF">
        <w:rPr>
          <w:lang w:val="fr-FR"/>
        </w:rPr>
        <w:t>39272/98, §§ 149, 153 et 166, CEDH 2003</w:t>
      </w:r>
      <w:r w:rsidR="009676A0" w:rsidRPr="00AC0DAF">
        <w:rPr>
          <w:lang w:val="fr-FR"/>
        </w:rPr>
        <w:noBreakHyphen/>
        <w:t>XII</w:t>
      </w:r>
      <w:r w:rsidR="006F3E6C">
        <w:rPr>
          <w:lang w:val="fr-FR"/>
        </w:rPr>
        <w:t>,</w:t>
      </w:r>
      <w:r w:rsidR="009676A0" w:rsidRPr="00AC0DAF">
        <w:rPr>
          <w:lang w:val="fr-FR"/>
        </w:rPr>
        <w:t xml:space="preserve"> </w:t>
      </w:r>
      <w:r w:rsidR="003D222E" w:rsidRPr="00AC0DAF">
        <w:rPr>
          <w:i/>
          <w:lang w:val="fr-FR"/>
        </w:rPr>
        <w:t>Tzekov</w:t>
      </w:r>
      <w:r w:rsidR="003D222E" w:rsidRPr="00AC0DAF">
        <w:rPr>
          <w:lang w:val="fr-FR"/>
        </w:rPr>
        <w:t>, précité, 71</w:t>
      </w:r>
      <w:r w:rsidR="006F3E6C">
        <w:rPr>
          <w:lang w:val="fr-FR"/>
        </w:rPr>
        <w:t>,</w:t>
      </w:r>
      <w:r w:rsidR="003D222E" w:rsidRPr="00AC0DAF">
        <w:rPr>
          <w:lang w:val="fr-FR"/>
        </w:rPr>
        <w:t xml:space="preserve"> </w:t>
      </w:r>
      <w:r w:rsidR="003D222E" w:rsidRPr="00AC0DAF">
        <w:rPr>
          <w:i/>
          <w:lang w:val="fr-FR"/>
        </w:rPr>
        <w:t>Çamdereli</w:t>
      </w:r>
      <w:r w:rsidR="003D222E" w:rsidRPr="00AC0DAF">
        <w:rPr>
          <w:lang w:val="fr-FR"/>
        </w:rPr>
        <w:t>, précité, § 38 ; sur le terrain de l</w:t>
      </w:r>
      <w:r w:rsidR="00603708">
        <w:rPr>
          <w:lang w:val="fr-FR"/>
        </w:rPr>
        <w:t>’</w:t>
      </w:r>
      <w:r w:rsidR="003D222E" w:rsidRPr="00AC0DAF">
        <w:rPr>
          <w:lang w:val="fr-FR"/>
        </w:rPr>
        <w:t>article 4</w:t>
      </w:r>
      <w:r w:rsidR="006F3E6C">
        <w:rPr>
          <w:lang w:val="fr-FR"/>
        </w:rPr>
        <w:t>,</w:t>
      </w:r>
      <w:r w:rsidR="003D222E" w:rsidRPr="00AC0DAF">
        <w:rPr>
          <w:lang w:val="fr-FR"/>
        </w:rPr>
        <w:t xml:space="preserve"> voir, </w:t>
      </w:r>
      <w:r w:rsidR="003D222E" w:rsidRPr="00AC0DAF">
        <w:rPr>
          <w:i/>
          <w:lang w:val="fr-FR"/>
        </w:rPr>
        <w:t>mutatis mutandis</w:t>
      </w:r>
      <w:r w:rsidR="003D222E" w:rsidRPr="00AC0DAF">
        <w:rPr>
          <w:lang w:val="fr-FR"/>
        </w:rPr>
        <w:t xml:space="preserve">, </w:t>
      </w:r>
      <w:r w:rsidR="003D222E" w:rsidRPr="00AC0DAF">
        <w:rPr>
          <w:i/>
          <w:szCs w:val="24"/>
          <w:lang w:val="fr-FR"/>
        </w:rPr>
        <w:t>Siliadin c. France</w:t>
      </w:r>
      <w:r w:rsidR="003D222E" w:rsidRPr="00AC0DAF">
        <w:rPr>
          <w:szCs w:val="24"/>
          <w:lang w:val="fr-FR"/>
        </w:rPr>
        <w:t>, n</w:t>
      </w:r>
      <w:r w:rsidR="003D222E" w:rsidRPr="00AC0DAF">
        <w:rPr>
          <w:szCs w:val="24"/>
          <w:vertAlign w:val="superscript"/>
          <w:lang w:val="fr-FR"/>
        </w:rPr>
        <w:t>o</w:t>
      </w:r>
      <w:r w:rsidR="0034213D">
        <w:rPr>
          <w:szCs w:val="24"/>
          <w:vertAlign w:val="superscript"/>
          <w:lang w:val="fr-FR"/>
        </w:rPr>
        <w:t> </w:t>
      </w:r>
      <w:r w:rsidR="003D222E" w:rsidRPr="00AC0DAF">
        <w:rPr>
          <w:szCs w:val="24"/>
          <w:lang w:val="fr-FR"/>
        </w:rPr>
        <w:t>73316/01, §</w:t>
      </w:r>
      <w:r w:rsidR="00F062B2" w:rsidRPr="00AC0DAF">
        <w:rPr>
          <w:szCs w:val="24"/>
          <w:lang w:val="fr-FR"/>
        </w:rPr>
        <w:t>§</w:t>
      </w:r>
      <w:r w:rsidR="003D222E" w:rsidRPr="00AC0DAF">
        <w:rPr>
          <w:szCs w:val="24"/>
          <w:lang w:val="fr-FR"/>
        </w:rPr>
        <w:t xml:space="preserve"> 89,</w:t>
      </w:r>
      <w:r w:rsidR="00F062B2" w:rsidRPr="00AC0DAF">
        <w:rPr>
          <w:szCs w:val="24"/>
          <w:lang w:val="fr-FR"/>
        </w:rPr>
        <w:t xml:space="preserve"> 112 et 148,</w:t>
      </w:r>
      <w:r w:rsidR="003D222E" w:rsidRPr="00AC0DAF">
        <w:rPr>
          <w:szCs w:val="24"/>
          <w:lang w:val="fr-FR"/>
        </w:rPr>
        <w:t xml:space="preserve"> </w:t>
      </w:r>
      <w:r w:rsidR="003D222E" w:rsidRPr="00AC0DAF">
        <w:rPr>
          <w:lang w:val="fr-FR"/>
        </w:rPr>
        <w:t>CEDH 2005</w:t>
      </w:r>
      <w:r w:rsidR="003D222E" w:rsidRPr="00AC0DAF">
        <w:rPr>
          <w:lang w:val="fr-FR"/>
        </w:rPr>
        <w:noBreakHyphen/>
        <w:t>VII</w:t>
      </w:r>
      <w:r w:rsidR="00F062B2">
        <w:rPr>
          <w:lang w:val="fr-FR"/>
        </w:rPr>
        <w:t>).</w:t>
      </w:r>
    </w:p>
    <w:p w:rsidR="0032468C" w:rsidRDefault="00375877" w:rsidP="00E34D0C">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210</w:t>
      </w:r>
      <w:r>
        <w:rPr>
          <w:lang w:val="fr-FR"/>
        </w:rPr>
        <w:fldChar w:fldCharType="end"/>
      </w:r>
      <w:r>
        <w:rPr>
          <w:lang w:val="fr-FR"/>
        </w:rPr>
        <w:t>.  </w:t>
      </w:r>
      <w:r w:rsidR="004A51F8" w:rsidRPr="004A51F8">
        <w:rPr>
          <w:lang w:val="fr-FR"/>
        </w:rPr>
        <w:t>En ce qui concerne les mesures disciplinaires, la Cour a dit à maintes reprises que</w:t>
      </w:r>
      <w:r w:rsidR="009A53CC">
        <w:rPr>
          <w:lang w:val="fr-FR"/>
        </w:rPr>
        <w:t>,</w:t>
      </w:r>
      <w:r w:rsidR="004A51F8" w:rsidRPr="004A51F8">
        <w:rPr>
          <w:lang w:val="fr-FR"/>
        </w:rPr>
        <w:t xml:space="preserve"> lorsque des agents de l</w:t>
      </w:r>
      <w:r w:rsidR="00603708">
        <w:rPr>
          <w:lang w:val="fr-FR"/>
        </w:rPr>
        <w:t>’</w:t>
      </w:r>
      <w:r w:rsidR="004A51F8" w:rsidRPr="004A51F8">
        <w:rPr>
          <w:lang w:val="fr-FR"/>
        </w:rPr>
        <w:t>État sont inculpés d</w:t>
      </w:r>
      <w:r w:rsidR="00603708">
        <w:rPr>
          <w:lang w:val="fr-FR"/>
        </w:rPr>
        <w:t>’</w:t>
      </w:r>
      <w:r w:rsidR="004A51F8" w:rsidRPr="004A51F8">
        <w:rPr>
          <w:lang w:val="fr-FR"/>
        </w:rPr>
        <w:t>infractions impliquant des mauvais traitements, il importe qu</w:t>
      </w:r>
      <w:r w:rsidR="00603708">
        <w:rPr>
          <w:lang w:val="fr-FR"/>
        </w:rPr>
        <w:t>’</w:t>
      </w:r>
      <w:r w:rsidR="004A51F8" w:rsidRPr="004A51F8">
        <w:rPr>
          <w:lang w:val="fr-FR"/>
        </w:rPr>
        <w:t>ils soient suspendus de leurs fonctions pendant l</w:t>
      </w:r>
      <w:r w:rsidR="00603708">
        <w:rPr>
          <w:lang w:val="fr-FR"/>
        </w:rPr>
        <w:t>’</w:t>
      </w:r>
      <w:r w:rsidR="004A51F8" w:rsidRPr="004A51F8">
        <w:rPr>
          <w:lang w:val="fr-FR"/>
        </w:rPr>
        <w:t>instruction ou le procès et en soient démis en cas de condamnation (</w:t>
      </w:r>
      <w:r w:rsidR="004A51F8" w:rsidRPr="00AC0DAF">
        <w:rPr>
          <w:lang w:val="fr-FR"/>
        </w:rPr>
        <w:t>voir</w:t>
      </w:r>
      <w:r w:rsidR="000E367F" w:rsidRPr="00AC0DAF">
        <w:rPr>
          <w:lang w:val="fr-FR"/>
        </w:rPr>
        <w:t>, parmi beaucoup d</w:t>
      </w:r>
      <w:r w:rsidR="00603708">
        <w:rPr>
          <w:lang w:val="fr-FR"/>
        </w:rPr>
        <w:t>’</w:t>
      </w:r>
      <w:r w:rsidR="000E367F" w:rsidRPr="00AC0DAF">
        <w:rPr>
          <w:lang w:val="fr-FR"/>
        </w:rPr>
        <w:t>autres,</w:t>
      </w:r>
      <w:r w:rsidR="004A51F8" w:rsidRPr="00AC0DAF">
        <w:rPr>
          <w:lang w:val="fr-FR"/>
        </w:rPr>
        <w:t xml:space="preserve"> </w:t>
      </w:r>
      <w:r w:rsidR="00BE4B58">
        <w:rPr>
          <w:lang w:val="fr-FR"/>
        </w:rPr>
        <w:t xml:space="preserve">les arrêts précités </w:t>
      </w:r>
      <w:r w:rsidR="004A51F8" w:rsidRPr="00AC0DAF">
        <w:rPr>
          <w:i/>
          <w:lang w:val="fr-FR"/>
        </w:rPr>
        <w:t>Abdülsamet Yaman</w:t>
      </w:r>
      <w:r w:rsidR="004A51F8" w:rsidRPr="00AC0DAF">
        <w:rPr>
          <w:lang w:val="fr-FR"/>
        </w:rPr>
        <w:t>, § 55</w:t>
      </w:r>
      <w:r w:rsidR="009A53CC">
        <w:rPr>
          <w:lang w:val="fr-FR"/>
        </w:rPr>
        <w:t>,</w:t>
      </w:r>
      <w:r w:rsidR="004A51F8" w:rsidRPr="00AC0DAF">
        <w:rPr>
          <w:lang w:val="fr-FR"/>
        </w:rPr>
        <w:t xml:space="preserve"> </w:t>
      </w:r>
      <w:r w:rsidR="004A51F8" w:rsidRPr="00AC0DAF">
        <w:rPr>
          <w:i/>
          <w:lang w:val="fr-FR"/>
        </w:rPr>
        <w:t>Nikolova et Velitchkova</w:t>
      </w:r>
      <w:r w:rsidR="004A51F8" w:rsidRPr="00AC0DAF">
        <w:rPr>
          <w:lang w:val="fr-FR"/>
        </w:rPr>
        <w:t>, § 63</w:t>
      </w:r>
      <w:r w:rsidR="009A53CC">
        <w:rPr>
          <w:lang w:val="fr-FR"/>
        </w:rPr>
        <w:t>,</w:t>
      </w:r>
      <w:r w:rsidR="004A51F8" w:rsidRPr="00AC0DAF">
        <w:rPr>
          <w:lang w:val="fr-FR"/>
        </w:rPr>
        <w:t xml:space="preserve"> </w:t>
      </w:r>
      <w:r w:rsidR="004A51F8" w:rsidRPr="00AC0DAF">
        <w:rPr>
          <w:i/>
          <w:lang w:val="fr-FR"/>
        </w:rPr>
        <w:t>Ali et Ayşe</w:t>
      </w:r>
      <w:r w:rsidR="004A51F8" w:rsidRPr="00AC0DAF">
        <w:rPr>
          <w:lang w:val="fr-FR"/>
        </w:rPr>
        <w:t xml:space="preserve"> </w:t>
      </w:r>
      <w:r w:rsidR="004A51F8" w:rsidRPr="00AC0DAF">
        <w:rPr>
          <w:i/>
          <w:lang w:val="fr-FR"/>
        </w:rPr>
        <w:t xml:space="preserve">Duran, </w:t>
      </w:r>
      <w:r w:rsidR="004A51F8" w:rsidRPr="00AC0DAF">
        <w:rPr>
          <w:lang w:val="fr-FR"/>
        </w:rPr>
        <w:t>§ 64</w:t>
      </w:r>
      <w:r w:rsidR="009A53CC">
        <w:rPr>
          <w:lang w:val="fr-FR"/>
        </w:rPr>
        <w:t>,</w:t>
      </w:r>
      <w:r w:rsidR="004A51F8" w:rsidRPr="00AC0DAF">
        <w:rPr>
          <w:lang w:val="fr-FR"/>
        </w:rPr>
        <w:t xml:space="preserve"> </w:t>
      </w:r>
      <w:r w:rsidR="004A51F8" w:rsidRPr="00AC0DAF">
        <w:rPr>
          <w:i/>
          <w:lang w:val="fr-FR"/>
        </w:rPr>
        <w:t>Erdal Aslan</w:t>
      </w:r>
      <w:r w:rsidR="004A51F8" w:rsidRPr="00AC0DAF">
        <w:rPr>
          <w:lang w:val="fr-FR"/>
        </w:rPr>
        <w:t>, §§ 74 et 76</w:t>
      </w:r>
      <w:r w:rsidR="009A53CC">
        <w:rPr>
          <w:lang w:val="fr-FR"/>
        </w:rPr>
        <w:t>,</w:t>
      </w:r>
      <w:r w:rsidR="004A51F8" w:rsidRPr="00AC0DAF">
        <w:rPr>
          <w:lang w:val="fr-FR"/>
        </w:rPr>
        <w:t xml:space="preserve"> </w:t>
      </w:r>
      <w:r w:rsidR="00C1518A" w:rsidRPr="00AC0DAF">
        <w:rPr>
          <w:i/>
          <w:lang w:val="fr-FR"/>
        </w:rPr>
        <w:t>Çamdereli</w:t>
      </w:r>
      <w:r w:rsidR="00C1518A" w:rsidRPr="00AC0DAF">
        <w:rPr>
          <w:lang w:val="fr-FR"/>
        </w:rPr>
        <w:t xml:space="preserve">, </w:t>
      </w:r>
      <w:r w:rsidR="009A53CC" w:rsidRPr="000B5793">
        <w:rPr>
          <w:lang w:val="fr-FR"/>
        </w:rPr>
        <w:t>§ 38</w:t>
      </w:r>
      <w:r w:rsidR="009A53CC">
        <w:rPr>
          <w:lang w:val="fr-FR"/>
        </w:rPr>
        <w:t>,</w:t>
      </w:r>
      <w:r w:rsidR="00C1518A" w:rsidRPr="00AC0DAF">
        <w:rPr>
          <w:lang w:val="fr-FR"/>
        </w:rPr>
        <w:t xml:space="preserve"> </w:t>
      </w:r>
      <w:r w:rsidR="004A51F8" w:rsidRPr="00AC0DAF">
        <w:rPr>
          <w:i/>
          <w:lang w:val="fr-FR"/>
        </w:rPr>
        <w:t>Gäfgen</w:t>
      </w:r>
      <w:r w:rsidRPr="00AC0DAF">
        <w:rPr>
          <w:lang w:val="fr-FR"/>
        </w:rPr>
        <w:t>, § 125</w:t>
      </w:r>
      <w:r w:rsidR="009A53CC">
        <w:rPr>
          <w:lang w:val="fr-FR"/>
        </w:rPr>
        <w:t>, et</w:t>
      </w:r>
      <w:r w:rsidR="00C1518A" w:rsidRPr="00AC0DAF">
        <w:rPr>
          <w:lang w:val="fr-FR"/>
        </w:rPr>
        <w:t xml:space="preserve"> </w:t>
      </w:r>
      <w:r w:rsidR="00C1518A" w:rsidRPr="00AC0DAF">
        <w:rPr>
          <w:i/>
          <w:lang w:val="fr-FR"/>
        </w:rPr>
        <w:t>Saba</w:t>
      </w:r>
      <w:r w:rsidR="00C1518A" w:rsidRPr="00AC0DAF">
        <w:rPr>
          <w:lang w:val="fr-FR"/>
        </w:rPr>
        <w:t>, §</w:t>
      </w:r>
      <w:r w:rsidR="00BE4B58">
        <w:rPr>
          <w:lang w:val="fr-FR"/>
        </w:rPr>
        <w:t> </w:t>
      </w:r>
      <w:r w:rsidR="00C1518A" w:rsidRPr="00AC0DAF">
        <w:rPr>
          <w:lang w:val="fr-FR"/>
        </w:rPr>
        <w:t>78</w:t>
      </w:r>
      <w:r w:rsidR="004A51F8" w:rsidRPr="004A51F8">
        <w:rPr>
          <w:lang w:val="fr-FR"/>
        </w:rPr>
        <w:t>).</w:t>
      </w:r>
    </w:p>
    <w:p w:rsidR="00D06BAC" w:rsidRPr="00887895" w:rsidRDefault="00D06BAC" w:rsidP="00E34D0C">
      <w:pPr>
        <w:pStyle w:val="ECHRPara"/>
        <w:rPr>
          <w:lang w:val="fr-FR"/>
        </w:rPr>
      </w:pPr>
      <w:r>
        <w:rPr>
          <w:lang w:val="fr-FR"/>
        </w:rPr>
        <w:fldChar w:fldCharType="begin"/>
      </w:r>
      <w:r w:rsidRPr="00876FF5">
        <w:rPr>
          <w:lang w:val="fr-FR"/>
        </w:rPr>
        <w:instrText xml:space="preserve"> SEQ level0 \*arabic </w:instrText>
      </w:r>
      <w:r>
        <w:rPr>
          <w:lang w:val="fr-FR"/>
        </w:rPr>
        <w:fldChar w:fldCharType="separate"/>
      </w:r>
      <w:r w:rsidR="00B378F9">
        <w:rPr>
          <w:noProof/>
          <w:lang w:val="fr-FR"/>
        </w:rPr>
        <w:t>211</w:t>
      </w:r>
      <w:r>
        <w:rPr>
          <w:lang w:val="fr-FR"/>
        </w:rPr>
        <w:fldChar w:fldCharType="end"/>
      </w:r>
      <w:r w:rsidRPr="00876FF5">
        <w:rPr>
          <w:lang w:val="fr-FR"/>
        </w:rPr>
        <w:t>.  </w:t>
      </w:r>
      <w:r w:rsidR="00E92519" w:rsidRPr="00E92519">
        <w:rPr>
          <w:lang w:val="fr-FR"/>
        </w:rPr>
        <w:t>En</w:t>
      </w:r>
      <w:r w:rsidR="003177A7">
        <w:rPr>
          <w:lang w:val="fr-FR"/>
        </w:rPr>
        <w:t xml:space="preserve"> outre</w:t>
      </w:r>
      <w:r w:rsidR="00E92519" w:rsidRPr="00E92519">
        <w:rPr>
          <w:lang w:val="fr-FR"/>
        </w:rPr>
        <w:t xml:space="preserve">, </w:t>
      </w:r>
      <w:r w:rsidR="00E92519" w:rsidRPr="008F7BFA">
        <w:rPr>
          <w:lang w:val="fr-FR"/>
        </w:rPr>
        <w:t>la victime doit être en mesure de participer effectivement, d</w:t>
      </w:r>
      <w:r w:rsidR="00603708">
        <w:rPr>
          <w:lang w:val="fr-FR"/>
        </w:rPr>
        <w:t>’</w:t>
      </w:r>
      <w:r w:rsidR="00E92519" w:rsidRPr="008F7BFA">
        <w:rPr>
          <w:lang w:val="fr-FR"/>
        </w:rPr>
        <w:t>une manière ou d</w:t>
      </w:r>
      <w:r w:rsidR="00603708">
        <w:rPr>
          <w:lang w:val="fr-FR"/>
        </w:rPr>
        <w:t>’</w:t>
      </w:r>
      <w:r w:rsidR="00E92519" w:rsidRPr="008F7BFA">
        <w:rPr>
          <w:lang w:val="fr-FR"/>
        </w:rPr>
        <w:t>une autre, à l</w:t>
      </w:r>
      <w:r w:rsidR="00603708">
        <w:rPr>
          <w:lang w:val="fr-FR"/>
        </w:rPr>
        <w:t>’</w:t>
      </w:r>
      <w:r w:rsidR="00E92519" w:rsidRPr="008F7BFA">
        <w:rPr>
          <w:lang w:val="fr-FR"/>
        </w:rPr>
        <w:t xml:space="preserve">enquête </w:t>
      </w:r>
      <w:r w:rsidR="00887895">
        <w:rPr>
          <w:lang w:val="fr-FR"/>
        </w:rPr>
        <w:t>(</w:t>
      </w:r>
      <w:r w:rsidR="00887895" w:rsidRPr="00AC0DAF">
        <w:rPr>
          <w:i/>
          <w:lang w:val="fr-FR"/>
        </w:rPr>
        <w:t>Dedovski et autres</w:t>
      </w:r>
      <w:r w:rsidR="00887895" w:rsidRPr="00AC0DAF">
        <w:rPr>
          <w:lang w:val="fr-FR"/>
        </w:rPr>
        <w:t>, précité, § 92</w:t>
      </w:r>
      <w:r w:rsidR="009A53CC">
        <w:rPr>
          <w:lang w:val="fr-FR"/>
        </w:rPr>
        <w:t>, et</w:t>
      </w:r>
      <w:r w:rsidR="00887895" w:rsidRPr="00AC0DAF">
        <w:rPr>
          <w:i/>
          <w:lang w:val="fr-FR"/>
        </w:rPr>
        <w:t xml:space="preserve"> El-Masri</w:t>
      </w:r>
      <w:r w:rsidR="00887895" w:rsidRPr="00AC0DAF">
        <w:rPr>
          <w:lang w:val="fr-FR"/>
        </w:rPr>
        <w:t>, précité, § 185</w:t>
      </w:r>
      <w:r w:rsidR="009A53CC">
        <w:rPr>
          <w:lang w:val="fr-FR"/>
        </w:rPr>
        <w:t xml:space="preserve">, avec </w:t>
      </w:r>
      <w:r w:rsidR="00887895" w:rsidRPr="00AC0DAF">
        <w:rPr>
          <w:lang w:val="fr-FR"/>
        </w:rPr>
        <w:t>les autres références qu</w:t>
      </w:r>
      <w:r w:rsidR="009A53CC">
        <w:rPr>
          <w:lang w:val="fr-FR"/>
        </w:rPr>
        <w:t xml:space="preserve">i </w:t>
      </w:r>
      <w:r w:rsidR="00887895" w:rsidRPr="00AC0DAF">
        <w:rPr>
          <w:lang w:val="fr-FR"/>
        </w:rPr>
        <w:t>y figurent</w:t>
      </w:r>
      <w:r w:rsidR="00887895">
        <w:rPr>
          <w:lang w:val="fr-FR"/>
        </w:rPr>
        <w:t>).</w:t>
      </w:r>
    </w:p>
    <w:p w:rsidR="0032468C" w:rsidRDefault="000D477B" w:rsidP="000D477B">
      <w:pPr>
        <w:pStyle w:val="ECHRPara"/>
        <w:rPr>
          <w:lang w:val="fr-FR"/>
        </w:rPr>
      </w:pPr>
      <w:r w:rsidRPr="00365292">
        <w:rPr>
          <w:lang w:val="fr-FR"/>
        </w:rPr>
        <w:fldChar w:fldCharType="begin"/>
      </w:r>
      <w:r w:rsidRPr="00267FF4">
        <w:rPr>
          <w:lang w:val="fr-FR"/>
        </w:rPr>
        <w:instrText xml:space="preserve"> SEQ level0 \*arabic </w:instrText>
      </w:r>
      <w:r w:rsidRPr="00365292">
        <w:rPr>
          <w:lang w:val="fr-FR"/>
        </w:rPr>
        <w:fldChar w:fldCharType="separate"/>
      </w:r>
      <w:r w:rsidR="00B378F9">
        <w:rPr>
          <w:noProof/>
          <w:lang w:val="fr-FR"/>
        </w:rPr>
        <w:t>212</w:t>
      </w:r>
      <w:r w:rsidRPr="00365292">
        <w:rPr>
          <w:lang w:val="fr-FR"/>
        </w:rPr>
        <w:fldChar w:fldCharType="end"/>
      </w:r>
      <w:r w:rsidRPr="00267FF4">
        <w:rPr>
          <w:lang w:val="fr-FR"/>
        </w:rPr>
        <w:t>.  En</w:t>
      </w:r>
      <w:r w:rsidR="009A53CC" w:rsidRPr="00267FF4">
        <w:rPr>
          <w:lang w:val="fr-FR"/>
        </w:rPr>
        <w:t xml:space="preserve">fin, </w:t>
      </w:r>
      <w:r w:rsidR="00267FF4">
        <w:rPr>
          <w:lang w:val="fr-FR"/>
        </w:rPr>
        <w:t>outre</w:t>
      </w:r>
      <w:r w:rsidRPr="00267FF4">
        <w:rPr>
          <w:lang w:val="fr-FR"/>
        </w:rPr>
        <w:t xml:space="preserve"> mener une enquête approfondie et effective, l</w:t>
      </w:r>
      <w:r w:rsidR="00603708">
        <w:rPr>
          <w:lang w:val="fr-FR"/>
        </w:rPr>
        <w:t>’</w:t>
      </w:r>
      <w:r w:rsidR="00887895" w:rsidRPr="00267FF4">
        <w:rPr>
          <w:lang w:val="fr-FR"/>
        </w:rPr>
        <w:t>État</w:t>
      </w:r>
      <w:r w:rsidRPr="000D477B">
        <w:rPr>
          <w:lang w:val="fr-FR"/>
        </w:rPr>
        <w:t xml:space="preserve"> doit accorder au requérant une indemnité, le cas échéant, ou à tout le moins la possibilité de solliciter et d</w:t>
      </w:r>
      <w:r w:rsidR="00603708">
        <w:rPr>
          <w:lang w:val="fr-FR"/>
        </w:rPr>
        <w:t>’</w:t>
      </w:r>
      <w:r w:rsidRPr="000D477B">
        <w:rPr>
          <w:lang w:val="fr-FR"/>
        </w:rPr>
        <w:t xml:space="preserve">obtenir réparation </w:t>
      </w:r>
      <w:r w:rsidR="003177A7">
        <w:rPr>
          <w:lang w:val="fr-FR"/>
        </w:rPr>
        <w:t>du</w:t>
      </w:r>
      <w:r w:rsidRPr="000D477B">
        <w:rPr>
          <w:lang w:val="fr-FR"/>
        </w:rPr>
        <w:t xml:space="preserve"> préjudice que le</w:t>
      </w:r>
      <w:r w:rsidR="00267FF4">
        <w:rPr>
          <w:lang w:val="fr-FR"/>
        </w:rPr>
        <w:t>s</w:t>
      </w:r>
      <w:r w:rsidRPr="000D477B">
        <w:rPr>
          <w:lang w:val="fr-FR"/>
        </w:rPr>
        <w:t xml:space="preserve"> mauvais traitement</w:t>
      </w:r>
      <w:r w:rsidR="00267FF4">
        <w:rPr>
          <w:lang w:val="fr-FR"/>
        </w:rPr>
        <w:t>s en question</w:t>
      </w:r>
      <w:r w:rsidRPr="000D477B">
        <w:rPr>
          <w:lang w:val="fr-FR"/>
        </w:rPr>
        <w:t xml:space="preserve"> lui </w:t>
      </w:r>
      <w:r w:rsidR="003177A7">
        <w:rPr>
          <w:lang w:val="fr-FR"/>
        </w:rPr>
        <w:t>ont</w:t>
      </w:r>
      <w:r w:rsidRPr="000D477B">
        <w:rPr>
          <w:lang w:val="fr-FR"/>
        </w:rPr>
        <w:t xml:space="preserve"> causé </w:t>
      </w:r>
      <w:r>
        <w:rPr>
          <w:lang w:val="fr-FR"/>
        </w:rPr>
        <w:t>(</w:t>
      </w:r>
      <w:r w:rsidRPr="00AC0DAF">
        <w:rPr>
          <w:i/>
          <w:lang w:val="fr-FR"/>
        </w:rPr>
        <w:t>Gäfgen</w:t>
      </w:r>
      <w:r w:rsidRPr="00AC0DAF">
        <w:rPr>
          <w:lang w:val="fr-FR"/>
        </w:rPr>
        <w:t>, précité, § 118</w:t>
      </w:r>
      <w:r w:rsidR="00267FF4">
        <w:rPr>
          <w:lang w:val="fr-FR"/>
        </w:rPr>
        <w:t>,</w:t>
      </w:r>
      <w:r w:rsidR="008904F2" w:rsidRPr="00AC0DAF">
        <w:rPr>
          <w:lang w:val="fr-FR"/>
        </w:rPr>
        <w:t xml:space="preserve"> </w:t>
      </w:r>
      <w:r w:rsidR="00267FF4">
        <w:rPr>
          <w:lang w:val="fr-FR"/>
        </w:rPr>
        <w:t xml:space="preserve">avec </w:t>
      </w:r>
      <w:r w:rsidR="008904F2" w:rsidRPr="00AC0DAF">
        <w:rPr>
          <w:lang w:val="fr-FR"/>
        </w:rPr>
        <w:t>les autres références qu</w:t>
      </w:r>
      <w:r w:rsidR="00267FF4">
        <w:rPr>
          <w:lang w:val="fr-FR"/>
        </w:rPr>
        <w:t xml:space="preserve">i </w:t>
      </w:r>
      <w:r w:rsidR="008904F2" w:rsidRPr="00AC0DAF">
        <w:rPr>
          <w:lang w:val="fr-FR"/>
        </w:rPr>
        <w:t>y figurent</w:t>
      </w:r>
      <w:r>
        <w:rPr>
          <w:lang w:val="fr-FR"/>
        </w:rPr>
        <w:t>)</w:t>
      </w:r>
      <w:r w:rsidRPr="000D477B">
        <w:rPr>
          <w:lang w:val="fr-FR"/>
        </w:rPr>
        <w:t>.</w:t>
      </w:r>
    </w:p>
    <w:p w:rsidR="00375877" w:rsidRPr="00D774FF" w:rsidRDefault="00375877">
      <w:pPr>
        <w:pStyle w:val="ECHRHeading5"/>
        <w:rPr>
          <w:lang w:val="fr-FR"/>
        </w:rPr>
      </w:pPr>
      <w:r w:rsidRPr="00D774FF">
        <w:rPr>
          <w:lang w:val="fr-FR"/>
        </w:rPr>
        <w:t>ii.</w:t>
      </w:r>
      <w:r w:rsidR="003A0DA9" w:rsidRPr="00D774FF">
        <w:rPr>
          <w:lang w:val="fr-FR"/>
        </w:rPr>
        <w:t>  </w:t>
      </w:r>
      <w:r w:rsidRPr="00D774FF">
        <w:rPr>
          <w:lang w:val="fr-FR"/>
        </w:rPr>
        <w:t>Application en l</w:t>
      </w:r>
      <w:r w:rsidR="00603708">
        <w:rPr>
          <w:lang w:val="fr-FR"/>
        </w:rPr>
        <w:t>’</w:t>
      </w:r>
      <w:r w:rsidRPr="00D774FF">
        <w:rPr>
          <w:lang w:val="fr-FR"/>
        </w:rPr>
        <w:t>espèce</w:t>
      </w:r>
    </w:p>
    <w:p w:rsidR="004A51F8" w:rsidRDefault="00FC2DC9" w:rsidP="004A51F8">
      <w:pPr>
        <w:ind w:firstLine="360"/>
        <w:outlineLvl w:val="0"/>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213</w:t>
      </w:r>
      <w:r>
        <w:rPr>
          <w:lang w:val="fr-FR"/>
        </w:rPr>
        <w:fldChar w:fldCharType="end"/>
      </w:r>
      <w:r>
        <w:rPr>
          <w:lang w:val="fr-FR"/>
        </w:rPr>
        <w:t>.  </w:t>
      </w:r>
      <w:r w:rsidR="004A51F8" w:rsidRPr="004A51F8">
        <w:rPr>
          <w:lang w:val="fr-FR"/>
        </w:rPr>
        <w:t>Eu égard aux principes résumés ci-dessus et, notamment, à l</w:t>
      </w:r>
      <w:r w:rsidR="00603708">
        <w:rPr>
          <w:lang w:val="fr-FR"/>
        </w:rPr>
        <w:t>’</w:t>
      </w:r>
      <w:r w:rsidR="004A51F8" w:rsidRPr="004A51F8">
        <w:rPr>
          <w:lang w:val="fr-FR"/>
        </w:rPr>
        <w:t xml:space="preserve">obligation </w:t>
      </w:r>
      <w:r w:rsidR="00267FF4">
        <w:rPr>
          <w:lang w:val="fr-FR"/>
        </w:rPr>
        <w:t>qui incombe à</w:t>
      </w:r>
      <w:r w:rsidR="00267FF4" w:rsidRPr="004A51F8">
        <w:rPr>
          <w:lang w:val="fr-FR"/>
        </w:rPr>
        <w:t xml:space="preserve"> </w:t>
      </w:r>
      <w:r w:rsidR="004A51F8" w:rsidRPr="004A51F8">
        <w:rPr>
          <w:lang w:val="fr-FR"/>
        </w:rPr>
        <w:t>l</w:t>
      </w:r>
      <w:r w:rsidR="00603708">
        <w:rPr>
          <w:lang w:val="fr-FR"/>
        </w:rPr>
        <w:t>’</w:t>
      </w:r>
      <w:r w:rsidR="004A51F8" w:rsidRPr="004A51F8">
        <w:rPr>
          <w:lang w:val="fr-FR"/>
        </w:rPr>
        <w:t>État d</w:t>
      </w:r>
      <w:r w:rsidR="00603708">
        <w:rPr>
          <w:lang w:val="fr-FR"/>
        </w:rPr>
        <w:t>’</w:t>
      </w:r>
      <w:r w:rsidR="004A51F8" w:rsidRPr="004A51F8">
        <w:rPr>
          <w:lang w:val="fr-FR"/>
        </w:rPr>
        <w:t>identifier et</w:t>
      </w:r>
      <w:r w:rsidR="0094278A">
        <w:rPr>
          <w:lang w:val="fr-FR"/>
        </w:rPr>
        <w:t>, le cas échéant,</w:t>
      </w:r>
      <w:r w:rsidR="004A51F8" w:rsidRPr="004A51F8">
        <w:rPr>
          <w:lang w:val="fr-FR"/>
        </w:rPr>
        <w:t xml:space="preserve"> </w:t>
      </w:r>
      <w:r w:rsidR="00267FF4">
        <w:rPr>
          <w:lang w:val="fr-FR"/>
        </w:rPr>
        <w:t xml:space="preserve">de </w:t>
      </w:r>
      <w:r>
        <w:rPr>
          <w:lang w:val="fr-FR"/>
        </w:rPr>
        <w:t>sanctionner</w:t>
      </w:r>
      <w:r w:rsidR="004A51F8" w:rsidRPr="004A51F8">
        <w:rPr>
          <w:lang w:val="fr-FR"/>
        </w:rPr>
        <w:t xml:space="preserve"> </w:t>
      </w:r>
      <w:r w:rsidR="00267FF4">
        <w:rPr>
          <w:lang w:val="fr-FR"/>
        </w:rPr>
        <w:t xml:space="preserve">de manière </w:t>
      </w:r>
      <w:r w:rsidR="004A51F8" w:rsidRPr="004A51F8">
        <w:rPr>
          <w:lang w:val="fr-FR"/>
        </w:rPr>
        <w:t>adéquate les auteurs d</w:t>
      </w:r>
      <w:r w:rsidR="00603708">
        <w:rPr>
          <w:lang w:val="fr-FR"/>
        </w:rPr>
        <w:t>’</w:t>
      </w:r>
      <w:r w:rsidR="004A51F8" w:rsidRPr="004A51F8">
        <w:rPr>
          <w:lang w:val="fr-FR"/>
        </w:rPr>
        <w:t>actes contraires à l</w:t>
      </w:r>
      <w:r w:rsidR="00603708">
        <w:rPr>
          <w:lang w:val="fr-FR"/>
        </w:rPr>
        <w:t>’</w:t>
      </w:r>
      <w:r w:rsidR="004A51F8" w:rsidRPr="004A51F8">
        <w:rPr>
          <w:lang w:val="fr-FR"/>
        </w:rPr>
        <w:t xml:space="preserve">article 3 de la Convention, </w:t>
      </w:r>
      <w:r w:rsidR="00375877">
        <w:rPr>
          <w:lang w:val="fr-FR"/>
        </w:rPr>
        <w:t xml:space="preserve">la Cour estime que </w:t>
      </w:r>
      <w:r w:rsidR="004A51F8" w:rsidRPr="004A51F8">
        <w:rPr>
          <w:lang w:val="fr-FR"/>
        </w:rPr>
        <w:t>l</w:t>
      </w:r>
      <w:r w:rsidR="00267FF4">
        <w:rPr>
          <w:lang w:val="fr-FR"/>
        </w:rPr>
        <w:t xml:space="preserve">a présente </w:t>
      </w:r>
      <w:r w:rsidR="004A51F8" w:rsidRPr="004A51F8">
        <w:rPr>
          <w:lang w:val="fr-FR"/>
        </w:rPr>
        <w:t xml:space="preserve">affaire soulève trois </w:t>
      </w:r>
      <w:r w:rsidR="00267FF4">
        <w:rPr>
          <w:lang w:val="fr-FR"/>
        </w:rPr>
        <w:t xml:space="preserve">types </w:t>
      </w:r>
      <w:r>
        <w:rPr>
          <w:lang w:val="fr-FR"/>
        </w:rPr>
        <w:t xml:space="preserve">de </w:t>
      </w:r>
      <w:r w:rsidR="004A51F8" w:rsidRPr="004A51F8">
        <w:rPr>
          <w:lang w:val="fr-FR"/>
        </w:rPr>
        <w:t>problème.</w:t>
      </w:r>
    </w:p>
    <w:p w:rsidR="00087856" w:rsidRPr="00AD3C6D" w:rsidRDefault="00087856" w:rsidP="000B5793">
      <w:pPr>
        <w:pStyle w:val="ECHRHeading6"/>
        <w:rPr>
          <w:rFonts w:eastAsia="Times New Roman"/>
          <w:lang w:val="fr-FR"/>
        </w:rPr>
      </w:pPr>
      <w:r w:rsidRPr="00AD3C6D">
        <w:rPr>
          <w:rFonts w:eastAsia="Times New Roman"/>
          <w:lang w:val="fr-FR"/>
        </w:rPr>
        <w:t>α) </w:t>
      </w:r>
      <w:r w:rsidR="003A0DA9">
        <w:rPr>
          <w:rFonts w:eastAsia="Times New Roman"/>
          <w:lang w:val="fr-FR"/>
        </w:rPr>
        <w:t> </w:t>
      </w:r>
      <w:r w:rsidRPr="00AD3C6D">
        <w:rPr>
          <w:rFonts w:eastAsia="Times New Roman"/>
          <w:lang w:val="fr-FR"/>
        </w:rPr>
        <w:t>Absence d</w:t>
      </w:r>
      <w:r w:rsidR="00603708">
        <w:rPr>
          <w:rFonts w:eastAsia="Times New Roman"/>
          <w:lang w:val="fr-FR"/>
        </w:rPr>
        <w:t>’</w:t>
      </w:r>
      <w:r w:rsidRPr="00AD3C6D">
        <w:rPr>
          <w:rFonts w:eastAsia="Times New Roman"/>
          <w:lang w:val="fr-FR"/>
        </w:rPr>
        <w:t>identification des auteurs matériels des mauvais traitements</w:t>
      </w:r>
      <w:r w:rsidR="00B84FDC">
        <w:rPr>
          <w:rFonts w:eastAsia="Times New Roman"/>
          <w:lang w:val="fr-FR"/>
        </w:rPr>
        <w:t xml:space="preserve"> en cause</w:t>
      </w:r>
    </w:p>
    <w:p w:rsidR="00AD3C6D" w:rsidRDefault="00AD3C6D" w:rsidP="0008785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214</w:t>
      </w:r>
      <w:r>
        <w:rPr>
          <w:lang w:val="fr-FR"/>
        </w:rPr>
        <w:fldChar w:fldCharType="end"/>
      </w:r>
      <w:r>
        <w:rPr>
          <w:lang w:val="fr-FR"/>
        </w:rPr>
        <w:t>.  </w:t>
      </w:r>
      <w:r w:rsidR="0016188E">
        <w:rPr>
          <w:lang w:val="fr-FR"/>
        </w:rPr>
        <w:t>L</w:t>
      </w:r>
      <w:r w:rsidR="004A51F8" w:rsidRPr="004A51F8">
        <w:rPr>
          <w:lang w:val="fr-FR"/>
        </w:rPr>
        <w:t xml:space="preserve">es </w:t>
      </w:r>
      <w:r>
        <w:rPr>
          <w:lang w:val="fr-FR"/>
        </w:rPr>
        <w:t xml:space="preserve">policiers qui ont </w:t>
      </w:r>
      <w:r w:rsidR="003177A7">
        <w:rPr>
          <w:lang w:val="fr-FR"/>
        </w:rPr>
        <w:t xml:space="preserve">agressé </w:t>
      </w:r>
      <w:r>
        <w:rPr>
          <w:lang w:val="fr-FR"/>
        </w:rPr>
        <w:t>le requérant dans l</w:t>
      </w:r>
      <w:r w:rsidR="00603708">
        <w:rPr>
          <w:lang w:val="fr-FR"/>
        </w:rPr>
        <w:t>’</w:t>
      </w:r>
      <w:r>
        <w:rPr>
          <w:lang w:val="fr-FR"/>
        </w:rPr>
        <w:t>école Diaz-Pertini et l</w:t>
      </w:r>
      <w:r w:rsidR="00603708">
        <w:rPr>
          <w:lang w:val="fr-FR"/>
        </w:rPr>
        <w:t>’</w:t>
      </w:r>
      <w:r>
        <w:rPr>
          <w:lang w:val="fr-FR"/>
        </w:rPr>
        <w:t>ont matériellement soumis à des actes de torture n</w:t>
      </w:r>
      <w:r w:rsidR="00603708">
        <w:rPr>
          <w:lang w:val="fr-FR"/>
        </w:rPr>
        <w:t>’</w:t>
      </w:r>
      <w:r>
        <w:rPr>
          <w:lang w:val="fr-FR"/>
        </w:rPr>
        <w:t>ont jamais</w:t>
      </w:r>
      <w:r w:rsidR="004A51F8" w:rsidRPr="004A51F8">
        <w:rPr>
          <w:lang w:val="fr-FR"/>
        </w:rPr>
        <w:t xml:space="preserve"> été identifiés</w:t>
      </w:r>
      <w:r>
        <w:rPr>
          <w:lang w:val="fr-FR"/>
        </w:rPr>
        <w:t xml:space="preserve"> (</w:t>
      </w:r>
      <w:r w:rsidRPr="00AC0DAF">
        <w:rPr>
          <w:lang w:val="fr-FR"/>
        </w:rPr>
        <w:t xml:space="preserve">paragraphe </w:t>
      </w:r>
      <w:r w:rsidR="00A646D3" w:rsidRPr="00AC0DAF">
        <w:rPr>
          <w:lang w:val="fr-FR"/>
        </w:rPr>
        <w:t>52</w:t>
      </w:r>
      <w:r w:rsidRPr="00AC0DAF">
        <w:rPr>
          <w:lang w:val="fr-FR"/>
        </w:rPr>
        <w:t xml:space="preserve"> ci-dessus</w:t>
      </w:r>
      <w:r>
        <w:rPr>
          <w:lang w:val="fr-FR"/>
        </w:rPr>
        <w:t>)</w:t>
      </w:r>
      <w:r w:rsidR="004A51F8" w:rsidRPr="004A51F8">
        <w:rPr>
          <w:lang w:val="fr-FR"/>
        </w:rPr>
        <w:t xml:space="preserve">. </w:t>
      </w:r>
      <w:r w:rsidR="00DD363E">
        <w:rPr>
          <w:lang w:val="fr-FR"/>
        </w:rPr>
        <w:t>I</w:t>
      </w:r>
      <w:r w:rsidR="004A51F8" w:rsidRPr="004A51F8">
        <w:rPr>
          <w:lang w:val="fr-FR"/>
        </w:rPr>
        <w:t>ls n</w:t>
      </w:r>
      <w:r w:rsidR="00603708">
        <w:rPr>
          <w:lang w:val="fr-FR"/>
        </w:rPr>
        <w:t>’</w:t>
      </w:r>
      <w:r w:rsidR="004A51F8" w:rsidRPr="004A51F8">
        <w:rPr>
          <w:lang w:val="fr-FR"/>
        </w:rPr>
        <w:t xml:space="preserve">ont </w:t>
      </w:r>
      <w:r w:rsidR="00DD363E">
        <w:rPr>
          <w:lang w:val="fr-FR"/>
        </w:rPr>
        <w:t>d</w:t>
      </w:r>
      <w:r w:rsidR="00DD363E" w:rsidRPr="004A51F8">
        <w:rPr>
          <w:lang w:val="fr-FR"/>
        </w:rPr>
        <w:t xml:space="preserve">onc </w:t>
      </w:r>
      <w:r w:rsidR="004A51F8" w:rsidRPr="004A51F8">
        <w:rPr>
          <w:lang w:val="fr-FR"/>
        </w:rPr>
        <w:t xml:space="preserve">même pas </w:t>
      </w:r>
      <w:r w:rsidR="003177A7">
        <w:rPr>
          <w:lang w:val="fr-FR"/>
        </w:rPr>
        <w:t>été l</w:t>
      </w:r>
      <w:r w:rsidR="00603708">
        <w:rPr>
          <w:lang w:val="fr-FR"/>
        </w:rPr>
        <w:t>’</w:t>
      </w:r>
      <w:r w:rsidR="003177A7">
        <w:rPr>
          <w:lang w:val="fr-FR"/>
        </w:rPr>
        <w:t>objet d</w:t>
      </w:r>
      <w:r w:rsidR="00603708">
        <w:rPr>
          <w:lang w:val="fr-FR"/>
        </w:rPr>
        <w:t>’</w:t>
      </w:r>
      <w:r w:rsidR="004A51F8" w:rsidRPr="004A51F8">
        <w:rPr>
          <w:lang w:val="fr-FR"/>
        </w:rPr>
        <w:t>une enquête et sont demeurés, tout simplement, impunis.</w:t>
      </w:r>
    </w:p>
    <w:p w:rsidR="008904F2" w:rsidRPr="006D5887" w:rsidRDefault="00AD3C6D" w:rsidP="006D5887">
      <w:pPr>
        <w:pStyle w:val="ECHRPara"/>
        <w:rPr>
          <w:rStyle w:val="sb8d990e2"/>
          <w:lang w:val="fr-FR"/>
        </w:rPr>
      </w:pPr>
      <w:r>
        <w:rPr>
          <w:lang w:val="fr-FR"/>
        </w:rPr>
        <w:fldChar w:fldCharType="begin"/>
      </w:r>
      <w:r w:rsidRPr="00235CF9">
        <w:rPr>
          <w:lang w:val="fr-FR"/>
        </w:rPr>
        <w:instrText xml:space="preserve"> SEQ level0 \*arabic </w:instrText>
      </w:r>
      <w:r>
        <w:rPr>
          <w:lang w:val="fr-FR"/>
        </w:rPr>
        <w:fldChar w:fldCharType="separate"/>
      </w:r>
      <w:r w:rsidR="00B378F9">
        <w:rPr>
          <w:noProof/>
          <w:lang w:val="fr-FR"/>
        </w:rPr>
        <w:t>215</w:t>
      </w:r>
      <w:r>
        <w:rPr>
          <w:lang w:val="fr-FR"/>
        </w:rPr>
        <w:fldChar w:fldCharType="end"/>
      </w:r>
      <w:r w:rsidRPr="00235CF9">
        <w:rPr>
          <w:lang w:val="fr-FR"/>
        </w:rPr>
        <w:t>.  </w:t>
      </w:r>
      <w:r w:rsidRPr="00AD3C6D">
        <w:rPr>
          <w:lang w:val="fr-FR"/>
        </w:rPr>
        <w:t xml:space="preserve">Certes, </w:t>
      </w:r>
      <w:r>
        <w:rPr>
          <w:lang w:val="fr-FR"/>
        </w:rPr>
        <w:t>l</w:t>
      </w:r>
      <w:r w:rsidR="00603708">
        <w:rPr>
          <w:lang w:val="fr-FR"/>
        </w:rPr>
        <w:t>’</w:t>
      </w:r>
      <w:r w:rsidRPr="00AD3C6D">
        <w:rPr>
          <w:lang w:val="fr-FR"/>
        </w:rPr>
        <w:t xml:space="preserve">obligation </w:t>
      </w:r>
      <w:r>
        <w:rPr>
          <w:lang w:val="fr-FR"/>
        </w:rPr>
        <w:t>d</w:t>
      </w:r>
      <w:r w:rsidR="00603708">
        <w:rPr>
          <w:lang w:val="fr-FR"/>
        </w:rPr>
        <w:t>’</w:t>
      </w:r>
      <w:r>
        <w:rPr>
          <w:lang w:val="fr-FR"/>
        </w:rPr>
        <w:t>enquête</w:t>
      </w:r>
      <w:r w:rsidRPr="00AD3C6D">
        <w:rPr>
          <w:lang w:val="fr-FR"/>
        </w:rPr>
        <w:t xml:space="preserve"> découlant de l</w:t>
      </w:r>
      <w:r w:rsidR="00603708">
        <w:rPr>
          <w:lang w:val="fr-FR"/>
        </w:rPr>
        <w:t>’</w:t>
      </w:r>
      <w:r w:rsidRPr="00AD3C6D">
        <w:rPr>
          <w:lang w:val="fr-FR"/>
        </w:rPr>
        <w:t xml:space="preserve">article 3 est </w:t>
      </w:r>
      <w:r>
        <w:rPr>
          <w:lang w:val="fr-FR"/>
        </w:rPr>
        <w:t>plutôt</w:t>
      </w:r>
      <w:r w:rsidR="0032468C">
        <w:rPr>
          <w:lang w:val="fr-FR"/>
        </w:rPr>
        <w:t xml:space="preserve"> </w:t>
      </w:r>
      <w:r>
        <w:rPr>
          <w:lang w:val="fr-FR"/>
        </w:rPr>
        <w:t>une obligation de moyens que de résultat</w:t>
      </w:r>
      <w:r w:rsidR="00235CF9">
        <w:rPr>
          <w:lang w:val="fr-FR"/>
        </w:rPr>
        <w:t xml:space="preserve"> (</w:t>
      </w:r>
      <w:r w:rsidR="00235CF9" w:rsidRPr="00AC0DAF">
        <w:rPr>
          <w:rStyle w:val="sb8d990e2"/>
          <w:i/>
          <w:lang w:val="fr-FR"/>
        </w:rPr>
        <w:t>Kopylov</w:t>
      </w:r>
      <w:r w:rsidR="00235CF9" w:rsidRPr="00AC0DAF">
        <w:rPr>
          <w:rStyle w:val="sb8d990e2"/>
          <w:lang w:val="fr-FR"/>
        </w:rPr>
        <w:t>, précité, § 132</w:t>
      </w:r>
      <w:r w:rsidR="0088777F">
        <w:rPr>
          <w:rStyle w:val="sb8d990e2"/>
          <w:lang w:val="fr-FR"/>
        </w:rPr>
        <w:t>,</w:t>
      </w:r>
      <w:r w:rsidR="00235CF9" w:rsidRPr="00AC0DAF">
        <w:rPr>
          <w:rStyle w:val="sb8d990e2"/>
          <w:i/>
          <w:lang w:val="fr-FR"/>
        </w:rPr>
        <w:t xml:space="preserve"> Samoylov</w:t>
      </w:r>
      <w:r w:rsidR="00235CF9" w:rsidRPr="00AC0DAF">
        <w:rPr>
          <w:rStyle w:val="sb8d990e2"/>
          <w:lang w:val="fr-FR"/>
        </w:rPr>
        <w:t>, précité, § 31</w:t>
      </w:r>
      <w:r w:rsidR="0088777F">
        <w:rPr>
          <w:rStyle w:val="sb8d990e2"/>
          <w:lang w:val="fr-FR"/>
        </w:rPr>
        <w:t>, et</w:t>
      </w:r>
      <w:r w:rsidR="00235CF9" w:rsidRPr="00AC0DAF">
        <w:rPr>
          <w:rStyle w:val="sb8d990e2"/>
          <w:lang w:val="fr-FR"/>
        </w:rPr>
        <w:t xml:space="preserve"> </w:t>
      </w:r>
      <w:r w:rsidR="006A0E0D" w:rsidRPr="004A51F8">
        <w:rPr>
          <w:i/>
          <w:lang w:val="fr-FR"/>
        </w:rPr>
        <w:t>Bat</w:t>
      </w:r>
      <w:r w:rsidR="006A0E0D">
        <w:rPr>
          <w:rFonts w:cstheme="minorHAnsi"/>
          <w:i/>
          <w:lang w:val="fr-FR"/>
        </w:rPr>
        <w:t>ı</w:t>
      </w:r>
      <w:r w:rsidR="00235CF9" w:rsidRPr="00AC0DAF">
        <w:rPr>
          <w:rStyle w:val="sb8d990e2"/>
          <w:i/>
          <w:lang w:val="fr-FR"/>
        </w:rPr>
        <w:t xml:space="preserve"> et autres</w:t>
      </w:r>
      <w:r w:rsidR="00235CF9" w:rsidRPr="00AC0DAF">
        <w:rPr>
          <w:rStyle w:val="sb8d990e2"/>
          <w:lang w:val="fr-FR"/>
        </w:rPr>
        <w:t>, précité, § 134</w:t>
      </w:r>
      <w:r w:rsidR="00235CF9">
        <w:rPr>
          <w:rStyle w:val="sb8d990e2"/>
          <w:lang w:val="fr-FR"/>
        </w:rPr>
        <w:t>)</w:t>
      </w:r>
      <w:r>
        <w:rPr>
          <w:lang w:val="fr-FR"/>
        </w:rPr>
        <w:t xml:space="preserve">, dans la mesure </w:t>
      </w:r>
      <w:r w:rsidR="006D5887">
        <w:rPr>
          <w:lang w:val="fr-FR"/>
        </w:rPr>
        <w:t xml:space="preserve">où </w:t>
      </w:r>
      <w:r w:rsidR="00B84FDC">
        <w:rPr>
          <w:lang w:val="fr-FR"/>
        </w:rPr>
        <w:t>l</w:t>
      </w:r>
      <w:r w:rsidR="00603708">
        <w:rPr>
          <w:lang w:val="fr-FR"/>
        </w:rPr>
        <w:t>’</w:t>
      </w:r>
      <w:r w:rsidR="00B84FDC">
        <w:rPr>
          <w:lang w:val="fr-FR"/>
        </w:rPr>
        <w:t>enquête</w:t>
      </w:r>
      <w:r w:rsidR="006D5887">
        <w:rPr>
          <w:lang w:val="fr-FR"/>
        </w:rPr>
        <w:t xml:space="preserve"> peut </w:t>
      </w:r>
      <w:r w:rsidR="008F3C42">
        <w:rPr>
          <w:lang w:val="fr-FR"/>
        </w:rPr>
        <w:t>s</w:t>
      </w:r>
      <w:r w:rsidR="006D5887">
        <w:rPr>
          <w:lang w:val="fr-FR"/>
        </w:rPr>
        <w:t xml:space="preserve">e solder par un échec malgré tous les moyens et </w:t>
      </w:r>
      <w:r>
        <w:rPr>
          <w:lang w:val="fr-FR"/>
        </w:rPr>
        <w:t xml:space="preserve">les efforts </w:t>
      </w:r>
      <w:r w:rsidR="006D5887">
        <w:rPr>
          <w:lang w:val="fr-FR"/>
        </w:rPr>
        <w:t>d</w:t>
      </w:r>
      <w:r w:rsidR="006D5887">
        <w:rPr>
          <w:rFonts w:cstheme="minorHAnsi"/>
          <w:lang w:val="fr-FR"/>
        </w:rPr>
        <w:t>û</w:t>
      </w:r>
      <w:r w:rsidR="006D5887">
        <w:rPr>
          <w:lang w:val="fr-FR"/>
        </w:rPr>
        <w:t xml:space="preserve">ment déployés par les </w:t>
      </w:r>
      <w:r>
        <w:rPr>
          <w:lang w:val="fr-FR"/>
        </w:rPr>
        <w:t>autorités</w:t>
      </w:r>
      <w:r w:rsidR="006D5887">
        <w:rPr>
          <w:rStyle w:val="sb8d990e2"/>
          <w:lang w:val="fr-FR"/>
        </w:rPr>
        <w:t>.</w:t>
      </w:r>
    </w:p>
    <w:p w:rsidR="0032468C" w:rsidRDefault="006D5887" w:rsidP="0008785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216</w:t>
      </w:r>
      <w:r>
        <w:rPr>
          <w:lang w:val="fr-FR"/>
        </w:rPr>
        <w:fldChar w:fldCharType="end"/>
      </w:r>
      <w:r>
        <w:rPr>
          <w:lang w:val="fr-FR"/>
        </w:rPr>
        <w:t>.  Il n</w:t>
      </w:r>
      <w:r w:rsidR="00603708">
        <w:rPr>
          <w:lang w:val="fr-FR"/>
        </w:rPr>
        <w:t>’</w:t>
      </w:r>
      <w:r>
        <w:rPr>
          <w:lang w:val="fr-FR"/>
        </w:rPr>
        <w:t>en reste pas moins qu</w:t>
      </w:r>
      <w:r w:rsidR="00603708">
        <w:rPr>
          <w:lang w:val="fr-FR"/>
        </w:rPr>
        <w:t>’</w:t>
      </w:r>
      <w:r w:rsidR="00235CF9">
        <w:rPr>
          <w:lang w:val="fr-FR"/>
        </w:rPr>
        <w:t>en l</w:t>
      </w:r>
      <w:r w:rsidR="00603708">
        <w:rPr>
          <w:lang w:val="fr-FR"/>
        </w:rPr>
        <w:t>’</w:t>
      </w:r>
      <w:r w:rsidR="00235CF9">
        <w:rPr>
          <w:lang w:val="fr-FR"/>
        </w:rPr>
        <w:t>espèce,</w:t>
      </w:r>
      <w:r w:rsidR="00AC6F88">
        <w:rPr>
          <w:lang w:val="fr-FR"/>
        </w:rPr>
        <w:t xml:space="preserve"> selon le jugement de première instance,</w:t>
      </w:r>
      <w:r w:rsidR="00235CF9">
        <w:rPr>
          <w:lang w:val="fr-FR"/>
        </w:rPr>
        <w:t xml:space="preserve"> </w:t>
      </w:r>
      <w:r>
        <w:rPr>
          <w:lang w:val="fr-FR"/>
        </w:rPr>
        <w:t>l</w:t>
      </w:r>
      <w:r w:rsidR="00603708">
        <w:rPr>
          <w:lang w:val="fr-FR"/>
        </w:rPr>
        <w:t>’</w:t>
      </w:r>
      <w:r>
        <w:rPr>
          <w:lang w:val="fr-FR"/>
        </w:rPr>
        <w:t>absence d</w:t>
      </w:r>
      <w:r w:rsidR="00603708">
        <w:rPr>
          <w:lang w:val="fr-FR"/>
        </w:rPr>
        <w:t>’</w:t>
      </w:r>
      <w:r>
        <w:rPr>
          <w:lang w:val="fr-FR"/>
        </w:rPr>
        <w:t xml:space="preserve">identification des auteurs matériels des mauvais traitements litigieux </w:t>
      </w:r>
      <w:r w:rsidR="004A51F8" w:rsidRPr="004A51F8">
        <w:rPr>
          <w:lang w:val="fr-FR"/>
        </w:rPr>
        <w:t>découle</w:t>
      </w:r>
      <w:r>
        <w:rPr>
          <w:lang w:val="fr-FR"/>
        </w:rPr>
        <w:t xml:space="preserve"> </w:t>
      </w:r>
      <w:r w:rsidR="004A51F8" w:rsidRPr="004A51F8">
        <w:rPr>
          <w:lang w:val="fr-FR"/>
        </w:rPr>
        <w:t xml:space="preserve">de la difficulté </w:t>
      </w:r>
      <w:r w:rsidR="00AC6F88">
        <w:rPr>
          <w:lang w:val="fr-FR"/>
        </w:rPr>
        <w:t xml:space="preserve">objective </w:t>
      </w:r>
      <w:r w:rsidR="004A51F8" w:rsidRPr="004A51F8">
        <w:rPr>
          <w:lang w:val="fr-FR"/>
        </w:rPr>
        <w:t xml:space="preserve">du parquet de procéder à des identifications certaines et </w:t>
      </w:r>
      <w:r w:rsidR="0088777F">
        <w:rPr>
          <w:lang w:val="fr-FR"/>
        </w:rPr>
        <w:t>du défaut de coopération de</w:t>
      </w:r>
      <w:r w:rsidR="004A51F8" w:rsidRPr="004A51F8">
        <w:rPr>
          <w:lang w:val="fr-FR"/>
        </w:rPr>
        <w:t xml:space="preserve"> </w:t>
      </w:r>
      <w:r w:rsidR="004A51F8" w:rsidRPr="00235CF9">
        <w:rPr>
          <w:lang w:val="fr-FR"/>
        </w:rPr>
        <w:t>la police au cours des investigations préliminaires</w:t>
      </w:r>
      <w:r w:rsidR="004A51F8" w:rsidRPr="004A51F8">
        <w:rPr>
          <w:lang w:val="fr-FR"/>
        </w:rPr>
        <w:t xml:space="preserve"> (</w:t>
      </w:r>
      <w:r w:rsidR="00B84FDC" w:rsidRPr="00AC0DAF">
        <w:rPr>
          <w:lang w:val="fr-FR"/>
        </w:rPr>
        <w:t>paragraphe</w:t>
      </w:r>
      <w:r w:rsidR="004A51F8" w:rsidRPr="00AC0DAF">
        <w:rPr>
          <w:lang w:val="fr-FR"/>
        </w:rPr>
        <w:t xml:space="preserve"> </w:t>
      </w:r>
      <w:r w:rsidR="00A646D3" w:rsidRPr="00AC0DAF">
        <w:rPr>
          <w:lang w:val="fr-FR"/>
        </w:rPr>
        <w:t>52</w:t>
      </w:r>
      <w:r w:rsidR="004A51F8" w:rsidRPr="00AC0DAF">
        <w:rPr>
          <w:lang w:val="fr-FR"/>
        </w:rPr>
        <w:t xml:space="preserve"> </w:t>
      </w:r>
      <w:r w:rsidR="00B84FDC" w:rsidRPr="00AC0DAF">
        <w:rPr>
          <w:lang w:val="fr-FR"/>
        </w:rPr>
        <w:t>ci-dessus</w:t>
      </w:r>
      <w:r w:rsidR="004A51F8" w:rsidRPr="004A51F8">
        <w:rPr>
          <w:lang w:val="fr-FR"/>
        </w:rPr>
        <w:t>).</w:t>
      </w:r>
    </w:p>
    <w:p w:rsidR="0032468C" w:rsidRDefault="0016188E" w:rsidP="00087856">
      <w:pPr>
        <w:pStyle w:val="ECHRPara"/>
        <w:rPr>
          <w:lang w:val="fr-FR"/>
        </w:rPr>
      </w:pPr>
      <w:r w:rsidRPr="007768B7">
        <w:rPr>
          <w:lang w:val="fr-FR"/>
        </w:rPr>
        <w:t>L</w:t>
      </w:r>
      <w:r w:rsidR="00467BBB" w:rsidRPr="007768B7">
        <w:rPr>
          <w:lang w:val="fr-FR"/>
        </w:rPr>
        <w:t>a Cour</w:t>
      </w:r>
      <w:r w:rsidR="005A0443" w:rsidRPr="007768B7">
        <w:rPr>
          <w:lang w:val="fr-FR"/>
        </w:rPr>
        <w:t xml:space="preserve"> </w:t>
      </w:r>
      <w:r w:rsidR="00467BBB" w:rsidRPr="007768B7">
        <w:rPr>
          <w:lang w:val="fr-FR"/>
        </w:rPr>
        <w:t>regrette que</w:t>
      </w:r>
      <w:r w:rsidR="00467BBB" w:rsidRPr="007768B7">
        <w:rPr>
          <w:rStyle w:val="sb8d990e2"/>
          <w:lang w:val="fr-FR"/>
        </w:rPr>
        <w:t xml:space="preserve"> </w:t>
      </w:r>
      <w:r w:rsidR="00DD363E" w:rsidRPr="007768B7">
        <w:rPr>
          <w:rStyle w:val="sb8d990e2"/>
          <w:lang w:val="fr-FR"/>
        </w:rPr>
        <w:t>la police</w:t>
      </w:r>
      <w:r w:rsidR="005F4FDB">
        <w:rPr>
          <w:rStyle w:val="sb8d990e2"/>
          <w:lang w:val="fr-FR"/>
        </w:rPr>
        <w:t xml:space="preserve"> </w:t>
      </w:r>
      <w:r w:rsidR="006A1504" w:rsidRPr="000A19FB">
        <w:rPr>
          <w:rStyle w:val="sb8d990e2"/>
          <w:lang w:val="fr-FR"/>
        </w:rPr>
        <w:t>italienne</w:t>
      </w:r>
      <w:r w:rsidR="006A1504">
        <w:rPr>
          <w:rStyle w:val="sb8d990e2"/>
          <w:lang w:val="fr-FR"/>
        </w:rPr>
        <w:t xml:space="preserve"> </w:t>
      </w:r>
      <w:r w:rsidR="009A7B53">
        <w:rPr>
          <w:rStyle w:val="sb8d990e2"/>
          <w:lang w:val="fr-FR"/>
        </w:rPr>
        <w:t>ait</w:t>
      </w:r>
      <w:r w:rsidR="00467BBB">
        <w:rPr>
          <w:rStyle w:val="sb8d990e2"/>
          <w:lang w:val="fr-FR"/>
        </w:rPr>
        <w:t xml:space="preserve"> pu</w:t>
      </w:r>
      <w:r w:rsidR="00467BBB" w:rsidRPr="00467BBB">
        <w:rPr>
          <w:rStyle w:val="sb8d990e2"/>
          <w:lang w:val="fr-FR"/>
        </w:rPr>
        <w:t xml:space="preserve"> </w:t>
      </w:r>
      <w:r w:rsidR="00467BBB">
        <w:rPr>
          <w:rStyle w:val="sb8d990e2"/>
          <w:lang w:val="fr-FR"/>
        </w:rPr>
        <w:t>refuser</w:t>
      </w:r>
      <w:r w:rsidR="00467BBB" w:rsidRPr="00467BBB">
        <w:rPr>
          <w:rStyle w:val="sb8d990e2"/>
          <w:lang w:val="fr-FR"/>
        </w:rPr>
        <w:t xml:space="preserve"> impunément </w:t>
      </w:r>
      <w:r w:rsidR="007768B7">
        <w:rPr>
          <w:rStyle w:val="sb8d990e2"/>
          <w:lang w:val="fr-FR"/>
        </w:rPr>
        <w:t>d</w:t>
      </w:r>
      <w:r w:rsidR="00603708">
        <w:rPr>
          <w:rStyle w:val="sb8d990e2"/>
          <w:lang w:val="fr-FR"/>
        </w:rPr>
        <w:t>’</w:t>
      </w:r>
      <w:r w:rsidR="007768B7">
        <w:rPr>
          <w:rStyle w:val="sb8d990e2"/>
          <w:lang w:val="fr-FR"/>
        </w:rPr>
        <w:t>apporter</w:t>
      </w:r>
      <w:r w:rsidR="00467BBB">
        <w:rPr>
          <w:rStyle w:val="sb8d990e2"/>
          <w:lang w:val="fr-FR"/>
        </w:rPr>
        <w:t xml:space="preserve"> aux autorités </w:t>
      </w:r>
      <w:r w:rsidR="00DD363E">
        <w:rPr>
          <w:rStyle w:val="sb8d990e2"/>
          <w:lang w:val="fr-FR"/>
        </w:rPr>
        <w:t>compétentes</w:t>
      </w:r>
      <w:r w:rsidR="00467BBB" w:rsidRPr="00467BBB">
        <w:rPr>
          <w:rStyle w:val="sb8d990e2"/>
          <w:lang w:val="fr-FR"/>
        </w:rPr>
        <w:t xml:space="preserve"> </w:t>
      </w:r>
      <w:r w:rsidR="00467BBB">
        <w:rPr>
          <w:rStyle w:val="sb8d990e2"/>
          <w:lang w:val="fr-FR"/>
        </w:rPr>
        <w:t xml:space="preserve">la coopération nécessaire </w:t>
      </w:r>
      <w:r w:rsidR="007768B7">
        <w:rPr>
          <w:rStyle w:val="sb8d990e2"/>
          <w:lang w:val="fr-FR"/>
        </w:rPr>
        <w:t>à l</w:t>
      </w:r>
      <w:r w:rsidR="00603708">
        <w:rPr>
          <w:rStyle w:val="sb8d990e2"/>
          <w:lang w:val="fr-FR"/>
        </w:rPr>
        <w:t>’</w:t>
      </w:r>
      <w:r w:rsidR="007768B7">
        <w:rPr>
          <w:rStyle w:val="sb8d990e2"/>
          <w:lang w:val="fr-FR"/>
        </w:rPr>
        <w:t>identification d</w:t>
      </w:r>
      <w:r w:rsidR="00467BBB">
        <w:rPr>
          <w:rStyle w:val="sb8d990e2"/>
          <w:lang w:val="fr-FR"/>
        </w:rPr>
        <w:t>es</w:t>
      </w:r>
      <w:r w:rsidR="00467BBB" w:rsidRPr="00467BBB">
        <w:rPr>
          <w:rStyle w:val="sb8d990e2"/>
          <w:lang w:val="fr-FR"/>
        </w:rPr>
        <w:t xml:space="preserve"> </w:t>
      </w:r>
      <w:r w:rsidR="008F3C42">
        <w:rPr>
          <w:rStyle w:val="sb8d990e2"/>
          <w:lang w:val="fr-FR"/>
        </w:rPr>
        <w:t>agent</w:t>
      </w:r>
      <w:r w:rsidR="008F3C42" w:rsidRPr="00467BBB">
        <w:rPr>
          <w:rStyle w:val="sb8d990e2"/>
          <w:lang w:val="fr-FR"/>
        </w:rPr>
        <w:t xml:space="preserve">s </w:t>
      </w:r>
      <w:r w:rsidR="00467BBB" w:rsidRPr="00467BBB">
        <w:rPr>
          <w:rStyle w:val="sb8d990e2"/>
          <w:lang w:val="fr-FR"/>
        </w:rPr>
        <w:t>susceptibles d</w:t>
      </w:r>
      <w:r w:rsidR="00603708">
        <w:rPr>
          <w:rStyle w:val="sb8d990e2"/>
          <w:lang w:val="fr-FR"/>
        </w:rPr>
        <w:t>’</w:t>
      </w:r>
      <w:r w:rsidR="00467BBB" w:rsidRPr="00467BBB">
        <w:rPr>
          <w:rStyle w:val="sb8d990e2"/>
          <w:lang w:val="fr-FR"/>
        </w:rPr>
        <w:t xml:space="preserve">être impliqués dans </w:t>
      </w:r>
      <w:r w:rsidR="009A7B53">
        <w:rPr>
          <w:rStyle w:val="sb8d990e2"/>
          <w:lang w:val="fr-FR"/>
        </w:rPr>
        <w:t>des actes de torture</w:t>
      </w:r>
      <w:r w:rsidR="00467BBB" w:rsidRPr="00467BBB">
        <w:rPr>
          <w:rStyle w:val="sb8d990e2"/>
          <w:lang w:val="fr-FR"/>
        </w:rPr>
        <w:t>.</w:t>
      </w:r>
    </w:p>
    <w:p w:rsidR="0032468C" w:rsidRDefault="007D605D" w:rsidP="0008785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217</w:t>
      </w:r>
      <w:r>
        <w:rPr>
          <w:lang w:val="fr-FR"/>
        </w:rPr>
        <w:fldChar w:fldCharType="end"/>
      </w:r>
      <w:r>
        <w:rPr>
          <w:lang w:val="fr-FR"/>
        </w:rPr>
        <w:t>.  </w:t>
      </w:r>
      <w:r w:rsidR="004A51F8" w:rsidRPr="004A51F8">
        <w:rPr>
          <w:lang w:val="fr-FR"/>
        </w:rPr>
        <w:t xml:space="preserve">En outre, </w:t>
      </w:r>
      <w:r w:rsidR="00235CF9">
        <w:rPr>
          <w:lang w:val="fr-FR"/>
        </w:rPr>
        <w:t xml:space="preserve">il ressort des décisions internes que </w:t>
      </w:r>
      <w:r w:rsidR="00235CF9" w:rsidRPr="004A51F8">
        <w:rPr>
          <w:lang w:val="fr-FR"/>
        </w:rPr>
        <w:t xml:space="preserve">le nombre </w:t>
      </w:r>
      <w:r w:rsidR="00235CF9">
        <w:rPr>
          <w:lang w:val="fr-FR"/>
        </w:rPr>
        <w:t xml:space="preserve">exact </w:t>
      </w:r>
      <w:r w:rsidR="00235CF9" w:rsidRPr="004A51F8">
        <w:rPr>
          <w:lang w:val="fr-FR"/>
        </w:rPr>
        <w:t>des age</w:t>
      </w:r>
      <w:r w:rsidR="00235CF9">
        <w:rPr>
          <w:lang w:val="fr-FR"/>
        </w:rPr>
        <w:t>nts ayant participé à l</w:t>
      </w:r>
      <w:r w:rsidR="00603708">
        <w:rPr>
          <w:lang w:val="fr-FR"/>
        </w:rPr>
        <w:t>’</w:t>
      </w:r>
      <w:r w:rsidR="00235CF9">
        <w:rPr>
          <w:lang w:val="fr-FR"/>
        </w:rPr>
        <w:t xml:space="preserve">opération est resté </w:t>
      </w:r>
      <w:r w:rsidR="00235CF9" w:rsidRPr="004A51F8">
        <w:rPr>
          <w:lang w:val="fr-FR"/>
        </w:rPr>
        <w:t xml:space="preserve">inconnu </w:t>
      </w:r>
      <w:r w:rsidR="00235CF9">
        <w:rPr>
          <w:lang w:val="fr-FR"/>
        </w:rPr>
        <w:t>(</w:t>
      </w:r>
      <w:r w:rsidR="00235CF9" w:rsidRPr="00AC0DAF">
        <w:rPr>
          <w:lang w:val="fr-FR"/>
        </w:rPr>
        <w:t xml:space="preserve">paragraphe </w:t>
      </w:r>
      <w:r w:rsidR="00A646D3" w:rsidRPr="00AC0DAF">
        <w:rPr>
          <w:lang w:val="fr-FR"/>
        </w:rPr>
        <w:t>30</w:t>
      </w:r>
      <w:r w:rsidR="00235CF9" w:rsidRPr="00AC0DAF">
        <w:rPr>
          <w:lang w:val="fr-FR"/>
        </w:rPr>
        <w:t xml:space="preserve"> ci-</w:t>
      </w:r>
      <w:r w:rsidR="00235CF9" w:rsidRPr="008F3C42">
        <w:rPr>
          <w:lang w:val="fr-FR"/>
        </w:rPr>
        <w:t>dessus</w:t>
      </w:r>
      <w:r w:rsidR="004A51F8" w:rsidRPr="008F3C42">
        <w:rPr>
          <w:lang w:val="fr-FR"/>
        </w:rPr>
        <w:t xml:space="preserve">) et </w:t>
      </w:r>
      <w:r w:rsidR="00DF0F5F" w:rsidRPr="008F3C42">
        <w:rPr>
          <w:lang w:val="fr-FR"/>
        </w:rPr>
        <w:t xml:space="preserve">que les policiers, dont au moins </w:t>
      </w:r>
      <w:r w:rsidR="008F3C42" w:rsidRPr="000B5793">
        <w:rPr>
          <w:lang w:val="fr-FR"/>
        </w:rPr>
        <w:t>ceux qui étaient en tête du groupe</w:t>
      </w:r>
      <w:r w:rsidR="00DF0F5F">
        <w:rPr>
          <w:lang w:val="fr-FR"/>
        </w:rPr>
        <w:t xml:space="preserve"> portai</w:t>
      </w:r>
      <w:r w:rsidR="008F3C42">
        <w:rPr>
          <w:lang w:val="fr-FR"/>
        </w:rPr>
        <w:t>en</w:t>
      </w:r>
      <w:r w:rsidR="00DF0F5F">
        <w:rPr>
          <w:lang w:val="fr-FR"/>
        </w:rPr>
        <w:t>t des casques de protection,</w:t>
      </w:r>
      <w:r w:rsidR="00235CF9">
        <w:rPr>
          <w:lang w:val="fr-FR"/>
        </w:rPr>
        <w:t xml:space="preserve"> ont fait </w:t>
      </w:r>
      <w:r w:rsidR="004A51F8" w:rsidRPr="004A51F8">
        <w:rPr>
          <w:lang w:val="fr-FR"/>
        </w:rPr>
        <w:t>irruption dans l</w:t>
      </w:r>
      <w:r w:rsidR="00603708">
        <w:rPr>
          <w:lang w:val="fr-FR"/>
        </w:rPr>
        <w:t>’</w:t>
      </w:r>
      <w:r w:rsidR="004A51F8" w:rsidRPr="004A51F8">
        <w:rPr>
          <w:lang w:val="fr-FR"/>
        </w:rPr>
        <w:t xml:space="preserve">école </w:t>
      </w:r>
      <w:r w:rsidR="007768B7">
        <w:rPr>
          <w:lang w:val="fr-FR"/>
        </w:rPr>
        <w:t xml:space="preserve">en ayant, </w:t>
      </w:r>
      <w:r w:rsidR="004A51F8" w:rsidRPr="004A51F8">
        <w:rPr>
          <w:lang w:val="fr-FR"/>
        </w:rPr>
        <w:t>pour la plupart</w:t>
      </w:r>
      <w:r w:rsidR="007768B7">
        <w:rPr>
          <w:lang w:val="fr-FR"/>
        </w:rPr>
        <w:t xml:space="preserve"> d</w:t>
      </w:r>
      <w:r w:rsidR="00603708">
        <w:rPr>
          <w:lang w:val="fr-FR"/>
        </w:rPr>
        <w:t>’</w:t>
      </w:r>
      <w:r w:rsidR="007768B7">
        <w:rPr>
          <w:lang w:val="fr-FR"/>
        </w:rPr>
        <w:t>entre eux,</w:t>
      </w:r>
      <w:r w:rsidR="004A51F8" w:rsidRPr="004A51F8">
        <w:rPr>
          <w:lang w:val="fr-FR"/>
        </w:rPr>
        <w:t xml:space="preserve"> le visage </w:t>
      </w:r>
      <w:r w:rsidR="007768B7">
        <w:rPr>
          <w:lang w:val="fr-FR"/>
        </w:rPr>
        <w:t>masqu</w:t>
      </w:r>
      <w:r w:rsidR="007768B7" w:rsidRPr="004A51F8">
        <w:rPr>
          <w:lang w:val="fr-FR"/>
        </w:rPr>
        <w:t xml:space="preserve">é </w:t>
      </w:r>
      <w:r w:rsidR="004A51F8" w:rsidRPr="004A51F8">
        <w:rPr>
          <w:lang w:val="fr-FR"/>
        </w:rPr>
        <w:t xml:space="preserve">par </w:t>
      </w:r>
      <w:r w:rsidR="008F3C42">
        <w:rPr>
          <w:lang w:val="fr-FR"/>
        </w:rPr>
        <w:t>un</w:t>
      </w:r>
      <w:r w:rsidR="004A51F8" w:rsidRPr="004A51F8">
        <w:rPr>
          <w:lang w:val="fr-FR"/>
        </w:rPr>
        <w:t xml:space="preserve"> foulard (</w:t>
      </w:r>
      <w:r w:rsidR="00C64FA4" w:rsidRPr="00AC0DAF">
        <w:rPr>
          <w:lang w:val="fr-FR"/>
        </w:rPr>
        <w:t>paragraphe</w:t>
      </w:r>
      <w:r w:rsidR="004A51F8" w:rsidRPr="00AC0DAF">
        <w:rPr>
          <w:lang w:val="fr-FR"/>
        </w:rPr>
        <w:t xml:space="preserve"> 29</w:t>
      </w:r>
      <w:r w:rsidR="00A646D3" w:rsidRPr="00AC0DAF">
        <w:rPr>
          <w:lang w:val="fr-FR"/>
        </w:rPr>
        <w:t xml:space="preserve"> et 33</w:t>
      </w:r>
      <w:r w:rsidR="004A51F8" w:rsidRPr="00AC0DAF">
        <w:rPr>
          <w:lang w:val="fr-FR"/>
        </w:rPr>
        <w:t xml:space="preserve"> </w:t>
      </w:r>
      <w:r w:rsidR="00C64FA4" w:rsidRPr="00AC0DAF">
        <w:rPr>
          <w:lang w:val="fr-FR"/>
        </w:rPr>
        <w:t>ci-dessus</w:t>
      </w:r>
      <w:r w:rsidR="00C64FA4">
        <w:rPr>
          <w:lang w:val="fr-FR"/>
        </w:rPr>
        <w:t>)</w:t>
      </w:r>
      <w:r w:rsidR="00235CF9">
        <w:rPr>
          <w:lang w:val="fr-FR"/>
        </w:rPr>
        <w:t>.</w:t>
      </w:r>
    </w:p>
    <w:p w:rsidR="0032468C" w:rsidRDefault="00235CF9" w:rsidP="00DF0F5F">
      <w:pPr>
        <w:pStyle w:val="ECHRPara"/>
        <w:rPr>
          <w:lang w:val="fr-FR"/>
        </w:rPr>
      </w:pPr>
      <w:r>
        <w:rPr>
          <w:lang w:val="fr-FR"/>
        </w:rPr>
        <w:t>Aux yeux de la Cour</w:t>
      </w:r>
      <w:r w:rsidR="00B459CD">
        <w:rPr>
          <w:lang w:val="fr-FR"/>
        </w:rPr>
        <w:t>,</w:t>
      </w:r>
      <w:r>
        <w:rPr>
          <w:lang w:val="fr-FR"/>
        </w:rPr>
        <w:t xml:space="preserve"> ces</w:t>
      </w:r>
      <w:r w:rsidR="004A51F8" w:rsidRPr="004A51F8">
        <w:rPr>
          <w:lang w:val="fr-FR"/>
        </w:rPr>
        <w:t xml:space="preserve"> deux circonstances</w:t>
      </w:r>
      <w:r w:rsidR="00AC6F88">
        <w:rPr>
          <w:lang w:val="fr-FR"/>
        </w:rPr>
        <w:t xml:space="preserve">, qui </w:t>
      </w:r>
      <w:r w:rsidR="00E32457">
        <w:rPr>
          <w:lang w:val="fr-FR"/>
        </w:rPr>
        <w:t>procèdent des</w:t>
      </w:r>
      <w:r w:rsidR="00AC6F88">
        <w:rPr>
          <w:lang w:val="fr-FR"/>
        </w:rPr>
        <w:t xml:space="preserve"> phases de planification et </w:t>
      </w:r>
      <w:r w:rsidR="00B459CD">
        <w:rPr>
          <w:lang w:val="fr-FR"/>
        </w:rPr>
        <w:t xml:space="preserve">de </w:t>
      </w:r>
      <w:r w:rsidR="00AC6F88">
        <w:rPr>
          <w:lang w:val="fr-FR"/>
        </w:rPr>
        <w:t xml:space="preserve">réalisation de </w:t>
      </w:r>
      <w:r w:rsidR="00A646D3">
        <w:rPr>
          <w:lang w:val="fr-FR"/>
        </w:rPr>
        <w:t>l</w:t>
      </w:r>
      <w:r w:rsidR="00603708">
        <w:rPr>
          <w:lang w:val="fr-FR"/>
        </w:rPr>
        <w:t>’</w:t>
      </w:r>
      <w:r w:rsidR="00A646D3">
        <w:rPr>
          <w:lang w:val="fr-FR"/>
        </w:rPr>
        <w:t>irruption</w:t>
      </w:r>
      <w:r w:rsidR="00AC6F88">
        <w:rPr>
          <w:lang w:val="fr-FR"/>
        </w:rPr>
        <w:t xml:space="preserve"> </w:t>
      </w:r>
      <w:r w:rsidR="00B459CD">
        <w:rPr>
          <w:lang w:val="fr-FR"/>
        </w:rPr>
        <w:t xml:space="preserve">policière </w:t>
      </w:r>
      <w:r w:rsidR="00AC6F88">
        <w:rPr>
          <w:lang w:val="fr-FR"/>
        </w:rPr>
        <w:t>dans l</w:t>
      </w:r>
      <w:r w:rsidR="00603708">
        <w:rPr>
          <w:lang w:val="fr-FR"/>
        </w:rPr>
        <w:t>’</w:t>
      </w:r>
      <w:r w:rsidR="00AC6F88">
        <w:rPr>
          <w:lang w:val="fr-FR"/>
        </w:rPr>
        <w:t>école Diaz-Pertini</w:t>
      </w:r>
      <w:r w:rsidR="007D605D">
        <w:rPr>
          <w:lang w:val="fr-FR"/>
        </w:rPr>
        <w:t>,</w:t>
      </w:r>
      <w:r w:rsidR="00AC6F88">
        <w:rPr>
          <w:lang w:val="fr-FR"/>
        </w:rPr>
        <w:t xml:space="preserve"> </w:t>
      </w:r>
      <w:r w:rsidR="00DF0F5F">
        <w:rPr>
          <w:lang w:val="fr-FR"/>
        </w:rPr>
        <w:t xml:space="preserve">constituent </w:t>
      </w:r>
      <w:r w:rsidR="002C2892">
        <w:rPr>
          <w:lang w:val="fr-FR"/>
        </w:rPr>
        <w:t>déjà des</w:t>
      </w:r>
      <w:r w:rsidR="00AC6F88">
        <w:rPr>
          <w:lang w:val="fr-FR"/>
        </w:rPr>
        <w:t xml:space="preserve"> obstacles </w:t>
      </w:r>
      <w:r w:rsidR="007D605D">
        <w:rPr>
          <w:lang w:val="fr-FR"/>
        </w:rPr>
        <w:t>non</w:t>
      </w:r>
      <w:r w:rsidR="00B459CD">
        <w:rPr>
          <w:lang w:val="fr-FR"/>
        </w:rPr>
        <w:t xml:space="preserve"> </w:t>
      </w:r>
      <w:r w:rsidR="007D605D">
        <w:rPr>
          <w:lang w:val="fr-FR"/>
        </w:rPr>
        <w:t>négligeables</w:t>
      </w:r>
      <w:r w:rsidR="00AC6F88">
        <w:rPr>
          <w:lang w:val="fr-FR"/>
        </w:rPr>
        <w:t xml:space="preserve"> à </w:t>
      </w:r>
      <w:r w:rsidR="004A51F8" w:rsidRPr="004A51F8">
        <w:rPr>
          <w:lang w:val="fr-FR"/>
        </w:rPr>
        <w:t>toute tentative d</w:t>
      </w:r>
      <w:r w:rsidR="00603708">
        <w:rPr>
          <w:lang w:val="fr-FR"/>
        </w:rPr>
        <w:t>’</w:t>
      </w:r>
      <w:r w:rsidR="004A51F8" w:rsidRPr="004A51F8">
        <w:rPr>
          <w:lang w:val="fr-FR"/>
        </w:rPr>
        <w:t>enquête efficace sur l</w:t>
      </w:r>
      <w:r w:rsidR="00AC6F88">
        <w:rPr>
          <w:lang w:val="fr-FR"/>
        </w:rPr>
        <w:t>es événements en question</w:t>
      </w:r>
      <w:r w:rsidR="004A51F8" w:rsidRPr="004A51F8">
        <w:rPr>
          <w:lang w:val="fr-FR"/>
        </w:rPr>
        <w:t>.</w:t>
      </w:r>
    </w:p>
    <w:p w:rsidR="0032468C" w:rsidRDefault="00E32457" w:rsidP="00DF0F5F">
      <w:pPr>
        <w:pStyle w:val="ECHRPara"/>
        <w:rPr>
          <w:rFonts w:ascii="Times New Roman" w:eastAsia="Times New Roman" w:hAnsi="Times New Roman" w:cs="Times New Roman"/>
          <w:szCs w:val="24"/>
          <w:lang w:val="fr-FR"/>
        </w:rPr>
      </w:pPr>
      <w:r>
        <w:rPr>
          <w:rFonts w:ascii="Times New Roman" w:eastAsia="Times New Roman" w:hAnsi="Times New Roman" w:cs="Times New Roman"/>
          <w:szCs w:val="24"/>
          <w:lang w:val="fr-FR"/>
        </w:rPr>
        <w:t>La Cour</w:t>
      </w:r>
      <w:r w:rsidRPr="008D2B82">
        <w:rPr>
          <w:rFonts w:ascii="Times New Roman" w:eastAsia="Times New Roman" w:hAnsi="Times New Roman" w:cs="Times New Roman"/>
          <w:szCs w:val="24"/>
          <w:lang w:val="fr-FR"/>
        </w:rPr>
        <w:t xml:space="preserve"> </w:t>
      </w:r>
      <w:r w:rsidR="007D605D" w:rsidRPr="008D2B82">
        <w:rPr>
          <w:rFonts w:ascii="Times New Roman" w:eastAsia="Times New Roman" w:hAnsi="Times New Roman" w:cs="Times New Roman"/>
          <w:szCs w:val="24"/>
          <w:lang w:val="fr-FR"/>
        </w:rPr>
        <w:t>rappelle</w:t>
      </w:r>
      <w:r w:rsidR="007D605D">
        <w:rPr>
          <w:rFonts w:ascii="Times New Roman" w:eastAsia="Times New Roman" w:hAnsi="Times New Roman" w:cs="Times New Roman"/>
          <w:szCs w:val="24"/>
          <w:lang w:val="fr-FR"/>
        </w:rPr>
        <w:t>, notamment,</w:t>
      </w:r>
      <w:r w:rsidR="007D605D" w:rsidRPr="008D2B82">
        <w:rPr>
          <w:rFonts w:ascii="Times New Roman" w:eastAsia="Times New Roman" w:hAnsi="Times New Roman" w:cs="Times New Roman"/>
          <w:szCs w:val="24"/>
          <w:lang w:val="fr-FR"/>
        </w:rPr>
        <w:t xml:space="preserve"> avoir déjà jugé, sous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angle de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article 3 de la Convention, que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 xml:space="preserve">impossibilité </w:t>
      </w:r>
      <w:r>
        <w:rPr>
          <w:rFonts w:ascii="Times New Roman" w:eastAsia="Times New Roman" w:hAnsi="Times New Roman" w:cs="Times New Roman"/>
          <w:szCs w:val="24"/>
          <w:lang w:val="fr-FR"/>
        </w:rPr>
        <w:t>d</w:t>
      </w:r>
      <w:r w:rsidR="00603708">
        <w:rPr>
          <w:rFonts w:ascii="Times New Roman" w:eastAsia="Times New Roman" w:hAnsi="Times New Roman" w:cs="Times New Roman"/>
          <w:szCs w:val="24"/>
          <w:lang w:val="fr-FR"/>
        </w:rPr>
        <w:t>’</w:t>
      </w:r>
      <w:r>
        <w:rPr>
          <w:rFonts w:ascii="Times New Roman" w:eastAsia="Times New Roman" w:hAnsi="Times New Roman" w:cs="Times New Roman"/>
          <w:szCs w:val="24"/>
          <w:lang w:val="fr-FR"/>
        </w:rPr>
        <w:t>identifier les membres</w:t>
      </w:r>
      <w:r w:rsidR="007D605D" w:rsidRPr="008D2B82">
        <w:rPr>
          <w:rFonts w:ascii="Times New Roman" w:eastAsia="Times New Roman" w:hAnsi="Times New Roman" w:cs="Times New Roman"/>
          <w:szCs w:val="24"/>
          <w:lang w:val="fr-FR"/>
        </w:rPr>
        <w:t xml:space="preserve"> des forces de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ordre, auteurs présumés d</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 xml:space="preserve">actes </w:t>
      </w:r>
      <w:r>
        <w:rPr>
          <w:rFonts w:ascii="Times New Roman" w:eastAsia="Times New Roman" w:hAnsi="Times New Roman" w:cs="Times New Roman"/>
          <w:szCs w:val="24"/>
          <w:lang w:val="fr-FR"/>
        </w:rPr>
        <w:t>contraires à</w:t>
      </w:r>
      <w:r w:rsidR="007D605D" w:rsidRPr="008D2B82">
        <w:rPr>
          <w:rFonts w:ascii="Times New Roman" w:eastAsia="Times New Roman" w:hAnsi="Times New Roman" w:cs="Times New Roman"/>
          <w:szCs w:val="24"/>
          <w:lang w:val="fr-FR"/>
        </w:rPr>
        <w:t xml:space="preserve"> la Convention, était contraire à celle-ci. De même, elle a déjà souligné que, lorsque les autorités nationales compétentes déploient des policiers au visage masqué pour maintenir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 xml:space="preserve">ordre public ou effectuer une arrestation, ces agents </w:t>
      </w:r>
      <w:r w:rsidR="00650C81">
        <w:rPr>
          <w:rFonts w:ascii="Times New Roman" w:eastAsia="Times New Roman" w:hAnsi="Times New Roman" w:cs="Times New Roman"/>
          <w:szCs w:val="24"/>
          <w:lang w:val="fr-FR"/>
        </w:rPr>
        <w:t>sont</w:t>
      </w:r>
      <w:r w:rsidR="00650C81" w:rsidRPr="008D2B82">
        <w:rPr>
          <w:rFonts w:ascii="Times New Roman" w:eastAsia="Times New Roman" w:hAnsi="Times New Roman" w:cs="Times New Roman"/>
          <w:szCs w:val="24"/>
          <w:lang w:val="fr-FR"/>
        </w:rPr>
        <w:t xml:space="preserve"> </w:t>
      </w:r>
      <w:r w:rsidR="007D605D" w:rsidRPr="008D2B82">
        <w:rPr>
          <w:rFonts w:ascii="Times New Roman" w:eastAsia="Times New Roman" w:hAnsi="Times New Roman" w:cs="Times New Roman"/>
          <w:szCs w:val="24"/>
          <w:lang w:val="fr-FR"/>
        </w:rPr>
        <w:t>tenus d</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arborer un signe distinctif – par exemple un numéro de matricule – qui, tout en préservant leur anonymat, permette de les identifier en vue de leur audition au cas où la conduite de l</w:t>
      </w:r>
      <w:r w:rsidR="00603708">
        <w:rPr>
          <w:rFonts w:ascii="Times New Roman" w:eastAsia="Times New Roman" w:hAnsi="Times New Roman" w:cs="Times New Roman"/>
          <w:szCs w:val="24"/>
          <w:lang w:val="fr-FR"/>
        </w:rPr>
        <w:t>’</w:t>
      </w:r>
      <w:r w:rsidR="007D605D" w:rsidRPr="008D2B82">
        <w:rPr>
          <w:rFonts w:ascii="Times New Roman" w:eastAsia="Times New Roman" w:hAnsi="Times New Roman" w:cs="Times New Roman"/>
          <w:szCs w:val="24"/>
          <w:lang w:val="fr-FR"/>
        </w:rPr>
        <w:t>opération serait contestée ultérieurement (</w:t>
      </w:r>
      <w:r w:rsidR="007D605D" w:rsidRPr="00AC0DAF">
        <w:rPr>
          <w:i/>
          <w:lang w:val="fr-FR"/>
        </w:rPr>
        <w:t>Ataykaya</w:t>
      </w:r>
      <w:r w:rsidR="007D605D" w:rsidRPr="00AC0DAF">
        <w:rPr>
          <w:snapToGrid w:val="0"/>
          <w:lang w:val="fr-FR"/>
        </w:rPr>
        <w:t>,</w:t>
      </w:r>
      <w:r w:rsidR="00652518" w:rsidRPr="00AC0DAF">
        <w:rPr>
          <w:snapToGrid w:val="0"/>
          <w:lang w:val="fr-FR"/>
        </w:rPr>
        <w:t xml:space="preserve"> précité,</w:t>
      </w:r>
      <w:r w:rsidR="007D605D" w:rsidRPr="00AC0DAF">
        <w:rPr>
          <w:snapToGrid w:val="0"/>
          <w:lang w:val="fr-FR"/>
        </w:rPr>
        <w:t xml:space="preserve"> § 53, ainsi que les références qu</w:t>
      </w:r>
      <w:r>
        <w:rPr>
          <w:snapToGrid w:val="0"/>
          <w:lang w:val="fr-FR"/>
        </w:rPr>
        <w:t xml:space="preserve">i </w:t>
      </w:r>
      <w:r w:rsidR="007D605D" w:rsidRPr="00AC0DAF">
        <w:rPr>
          <w:snapToGrid w:val="0"/>
          <w:lang w:val="fr-FR"/>
        </w:rPr>
        <w:t>y figurent</w:t>
      </w:r>
      <w:r w:rsidR="007D605D" w:rsidRPr="008D2B82">
        <w:rPr>
          <w:rFonts w:ascii="Times New Roman" w:eastAsia="Times New Roman" w:hAnsi="Times New Roman" w:cs="Times New Roman"/>
          <w:szCs w:val="24"/>
          <w:lang w:val="fr-FR"/>
        </w:rPr>
        <w:t>).</w:t>
      </w:r>
    </w:p>
    <w:p w:rsidR="0032468C" w:rsidRDefault="00B84FDC" w:rsidP="000B5793">
      <w:pPr>
        <w:pStyle w:val="ECHRHeading6"/>
        <w:rPr>
          <w:rFonts w:ascii="Times New Roman" w:eastAsia="Times New Roman" w:hAnsi="Times New Roman" w:cs="Times New Roman"/>
          <w:szCs w:val="20"/>
          <w:lang w:val="fr-FR"/>
        </w:rPr>
      </w:pPr>
      <w:r>
        <w:rPr>
          <w:rFonts w:ascii="Times New Roman" w:eastAsia="Times New Roman" w:hAnsi="Times New Roman" w:cs="Times New Roman"/>
          <w:szCs w:val="20"/>
          <w:lang w:val="fr-FR"/>
        </w:rPr>
        <w:t>ß</w:t>
      </w:r>
      <w:r w:rsidRPr="00747C68">
        <w:rPr>
          <w:rFonts w:ascii="Times New Roman" w:eastAsia="Times New Roman" w:hAnsi="Times New Roman" w:cs="Times New Roman"/>
          <w:szCs w:val="20"/>
          <w:lang w:val="fr-FR"/>
        </w:rPr>
        <w:t>)</w:t>
      </w:r>
      <w:r>
        <w:rPr>
          <w:rFonts w:ascii="Times New Roman" w:eastAsia="Times New Roman" w:hAnsi="Times New Roman" w:cs="Times New Roman"/>
          <w:szCs w:val="20"/>
          <w:lang w:val="fr-FR"/>
        </w:rPr>
        <w:t> </w:t>
      </w:r>
      <w:r w:rsidR="003A0DA9">
        <w:rPr>
          <w:rFonts w:ascii="Times New Roman" w:eastAsia="Times New Roman" w:hAnsi="Times New Roman" w:cs="Times New Roman"/>
          <w:szCs w:val="20"/>
          <w:lang w:val="fr-FR"/>
        </w:rPr>
        <w:t> </w:t>
      </w:r>
      <w:r>
        <w:rPr>
          <w:rFonts w:ascii="Times New Roman" w:eastAsia="Times New Roman" w:hAnsi="Times New Roman" w:cs="Times New Roman"/>
          <w:szCs w:val="20"/>
          <w:lang w:val="fr-FR"/>
        </w:rPr>
        <w:t>Prescription des délits et remise partielle des peines</w:t>
      </w:r>
    </w:p>
    <w:p w:rsidR="0032468C" w:rsidRDefault="002C2892" w:rsidP="0008785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218</w:t>
      </w:r>
      <w:r>
        <w:rPr>
          <w:lang w:val="fr-FR"/>
        </w:rPr>
        <w:fldChar w:fldCharType="end"/>
      </w:r>
      <w:r>
        <w:rPr>
          <w:lang w:val="fr-FR"/>
        </w:rPr>
        <w:t>.  </w:t>
      </w:r>
      <w:r w:rsidR="004A51F8" w:rsidRPr="004A51F8">
        <w:rPr>
          <w:lang w:val="fr-FR"/>
        </w:rPr>
        <w:t>Pour l</w:t>
      </w:r>
      <w:r w:rsidR="00603708">
        <w:rPr>
          <w:lang w:val="fr-FR"/>
        </w:rPr>
        <w:t>’</w:t>
      </w:r>
      <w:r w:rsidR="004A51F8" w:rsidRPr="004A51F8">
        <w:rPr>
          <w:lang w:val="fr-FR"/>
        </w:rPr>
        <w:t>irruption</w:t>
      </w:r>
      <w:r w:rsidR="00E77576">
        <w:rPr>
          <w:lang w:val="fr-FR"/>
        </w:rPr>
        <w:t xml:space="preserve"> </w:t>
      </w:r>
      <w:r w:rsidR="00E77576" w:rsidRPr="004A51F8">
        <w:rPr>
          <w:lang w:val="fr-FR"/>
        </w:rPr>
        <w:t>dans l</w:t>
      </w:r>
      <w:r w:rsidR="00603708">
        <w:rPr>
          <w:lang w:val="fr-FR"/>
        </w:rPr>
        <w:t>’</w:t>
      </w:r>
      <w:r w:rsidR="00E77576" w:rsidRPr="004A51F8">
        <w:rPr>
          <w:lang w:val="fr-FR"/>
        </w:rPr>
        <w:t>école Diaz-Pertini</w:t>
      </w:r>
      <w:r w:rsidR="004A51F8" w:rsidRPr="004A51F8">
        <w:rPr>
          <w:lang w:val="fr-FR"/>
        </w:rPr>
        <w:t xml:space="preserve">, </w:t>
      </w:r>
      <w:r w:rsidR="00E77576">
        <w:rPr>
          <w:lang w:val="fr-FR"/>
        </w:rPr>
        <w:t xml:space="preserve">pour </w:t>
      </w:r>
      <w:r w:rsidR="004A51F8" w:rsidRPr="004A51F8">
        <w:rPr>
          <w:lang w:val="fr-FR"/>
        </w:rPr>
        <w:t xml:space="preserve">les violences </w:t>
      </w:r>
      <w:r w:rsidR="00E77576">
        <w:rPr>
          <w:lang w:val="fr-FR"/>
        </w:rPr>
        <w:t xml:space="preserve">qui y ont été </w:t>
      </w:r>
      <w:r w:rsidR="004A51F8" w:rsidRPr="004A51F8">
        <w:rPr>
          <w:lang w:val="fr-FR"/>
        </w:rPr>
        <w:t xml:space="preserve">commises et </w:t>
      </w:r>
      <w:r w:rsidR="00E77576">
        <w:rPr>
          <w:lang w:val="fr-FR"/>
        </w:rPr>
        <w:t xml:space="preserve">pour </w:t>
      </w:r>
      <w:r w:rsidR="004A51F8" w:rsidRPr="004A51F8">
        <w:rPr>
          <w:lang w:val="fr-FR"/>
        </w:rPr>
        <w:t xml:space="preserve">les tentatives de cacher ou justifier celles-ci, des hauts dirigeants, des cadres et </w:t>
      </w:r>
      <w:r w:rsidR="00E77576">
        <w:rPr>
          <w:lang w:val="fr-FR"/>
        </w:rPr>
        <w:t>un certain nombre d</w:t>
      </w:r>
      <w:r w:rsidR="00603708">
        <w:rPr>
          <w:lang w:val="fr-FR"/>
        </w:rPr>
        <w:t>’</w:t>
      </w:r>
      <w:r w:rsidR="004A51F8" w:rsidRPr="004A51F8">
        <w:rPr>
          <w:lang w:val="fr-FR"/>
        </w:rPr>
        <w:t xml:space="preserve">agents de police ont été </w:t>
      </w:r>
      <w:r w:rsidR="00595D2B">
        <w:rPr>
          <w:lang w:val="fr-FR"/>
        </w:rPr>
        <w:t xml:space="preserve">poursuivis et </w:t>
      </w:r>
      <w:r w:rsidR="004A51F8" w:rsidRPr="004A51F8">
        <w:rPr>
          <w:lang w:val="fr-FR"/>
        </w:rPr>
        <w:t>renvoyés en jugement pour plusieurs délits</w:t>
      </w:r>
      <w:r w:rsidR="00B84FDC">
        <w:rPr>
          <w:lang w:val="fr-FR"/>
        </w:rPr>
        <w:t>.</w:t>
      </w:r>
      <w:r w:rsidR="00595D2B">
        <w:rPr>
          <w:lang w:val="fr-FR"/>
        </w:rPr>
        <w:t xml:space="preserve"> Il en a été de même pour les faits </w:t>
      </w:r>
      <w:r w:rsidR="00E32457">
        <w:rPr>
          <w:lang w:val="fr-FR"/>
        </w:rPr>
        <w:t>qui se sont produits à</w:t>
      </w:r>
      <w:r w:rsidR="00595D2B">
        <w:rPr>
          <w:lang w:val="fr-FR"/>
        </w:rPr>
        <w:t xml:space="preserve"> l</w:t>
      </w:r>
      <w:r w:rsidR="00603708">
        <w:rPr>
          <w:lang w:val="fr-FR"/>
        </w:rPr>
        <w:t>’</w:t>
      </w:r>
      <w:r w:rsidR="00595D2B">
        <w:rPr>
          <w:lang w:val="fr-FR"/>
        </w:rPr>
        <w:t>école Pascoli (</w:t>
      </w:r>
      <w:r w:rsidR="00595D2B" w:rsidRPr="00AC0DAF">
        <w:rPr>
          <w:lang w:val="fr-FR"/>
        </w:rPr>
        <w:t>paragraphes</w:t>
      </w:r>
      <w:r w:rsidR="004A51F8" w:rsidRPr="00AC0DAF">
        <w:rPr>
          <w:lang w:val="fr-FR"/>
        </w:rPr>
        <w:t xml:space="preserve"> 4</w:t>
      </w:r>
      <w:r w:rsidR="00DD363E">
        <w:rPr>
          <w:lang w:val="fr-FR"/>
        </w:rPr>
        <w:t xml:space="preserve">5 et </w:t>
      </w:r>
      <w:r w:rsidR="004A51F8" w:rsidRPr="00AC0DAF">
        <w:rPr>
          <w:lang w:val="fr-FR"/>
        </w:rPr>
        <w:t>4</w:t>
      </w:r>
      <w:r w:rsidR="00DD363E">
        <w:rPr>
          <w:lang w:val="fr-FR"/>
        </w:rPr>
        <w:t>7</w:t>
      </w:r>
      <w:r w:rsidR="004A51F8" w:rsidRPr="00AC0DAF">
        <w:rPr>
          <w:lang w:val="fr-FR"/>
        </w:rPr>
        <w:t xml:space="preserve"> </w:t>
      </w:r>
      <w:r w:rsidR="00595D2B" w:rsidRPr="00AC0DAF">
        <w:rPr>
          <w:lang w:val="fr-FR"/>
        </w:rPr>
        <w:t>ci-dessus</w:t>
      </w:r>
      <w:r w:rsidR="004A51F8" w:rsidRPr="004A51F8">
        <w:rPr>
          <w:lang w:val="fr-FR"/>
        </w:rPr>
        <w:t>).</w:t>
      </w:r>
    </w:p>
    <w:p w:rsidR="0032468C" w:rsidRDefault="002F032D" w:rsidP="00087856">
      <w:pPr>
        <w:pStyle w:val="ECHRPara"/>
        <w:rPr>
          <w:szCs w:val="24"/>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219</w:t>
      </w:r>
      <w:r>
        <w:rPr>
          <w:lang w:val="fr-FR"/>
        </w:rPr>
        <w:fldChar w:fldCharType="end"/>
      </w:r>
      <w:r>
        <w:rPr>
          <w:lang w:val="fr-FR"/>
        </w:rPr>
        <w:t>.  </w:t>
      </w:r>
      <w:r w:rsidR="00E77576">
        <w:rPr>
          <w:lang w:val="fr-FR"/>
        </w:rPr>
        <w:t>Néanmoins</w:t>
      </w:r>
      <w:r w:rsidR="004A51F8" w:rsidRPr="004A51F8">
        <w:rPr>
          <w:lang w:val="fr-FR"/>
        </w:rPr>
        <w:t xml:space="preserve">, pour ce qui est des événements </w:t>
      </w:r>
      <w:r w:rsidR="00E32457">
        <w:rPr>
          <w:lang w:val="fr-FR"/>
        </w:rPr>
        <w:t>ayant eu lieu à</w:t>
      </w:r>
      <w:r w:rsidR="00E32457" w:rsidRPr="004A51F8">
        <w:rPr>
          <w:lang w:val="fr-FR"/>
        </w:rPr>
        <w:t xml:space="preserve"> </w:t>
      </w:r>
      <w:r w:rsidR="004A51F8" w:rsidRPr="004A51F8">
        <w:rPr>
          <w:lang w:val="fr-FR"/>
        </w:rPr>
        <w:t>l</w:t>
      </w:r>
      <w:r w:rsidR="00603708">
        <w:rPr>
          <w:lang w:val="fr-FR"/>
        </w:rPr>
        <w:t>’</w:t>
      </w:r>
      <w:r w:rsidR="004A51F8" w:rsidRPr="004A51F8">
        <w:rPr>
          <w:lang w:val="fr-FR"/>
        </w:rPr>
        <w:t>école Diaz-Pertini, les délits de calomnie, d</w:t>
      </w:r>
      <w:r w:rsidR="00603708">
        <w:rPr>
          <w:lang w:val="fr-FR"/>
        </w:rPr>
        <w:t>’</w:t>
      </w:r>
      <w:r w:rsidR="004A51F8" w:rsidRPr="004A51F8">
        <w:rPr>
          <w:lang w:val="fr-FR"/>
        </w:rPr>
        <w:t>abus d</w:t>
      </w:r>
      <w:r w:rsidR="00603708">
        <w:rPr>
          <w:lang w:val="fr-FR"/>
        </w:rPr>
        <w:t>’</w:t>
      </w:r>
      <w:r w:rsidR="004A51F8" w:rsidRPr="004A51F8">
        <w:rPr>
          <w:lang w:val="fr-FR"/>
        </w:rPr>
        <w:t>autorité publique (notamment en raison de l</w:t>
      </w:r>
      <w:r w:rsidR="00603708">
        <w:rPr>
          <w:lang w:val="fr-FR"/>
        </w:rPr>
        <w:t>’</w:t>
      </w:r>
      <w:r w:rsidR="004A51F8" w:rsidRPr="004A51F8">
        <w:rPr>
          <w:lang w:val="fr-FR"/>
        </w:rPr>
        <w:t>arrestation illégale des occupants), de lésions simples ainsi que, à l</w:t>
      </w:r>
      <w:r w:rsidR="00603708">
        <w:rPr>
          <w:lang w:val="fr-FR"/>
        </w:rPr>
        <w:t>’</w:t>
      </w:r>
      <w:r w:rsidR="004A51F8" w:rsidRPr="004A51F8">
        <w:rPr>
          <w:lang w:val="fr-FR"/>
        </w:rPr>
        <w:t>égard d</w:t>
      </w:r>
      <w:r w:rsidR="00603708">
        <w:rPr>
          <w:lang w:val="fr-FR"/>
        </w:rPr>
        <w:t>’</w:t>
      </w:r>
      <w:r w:rsidR="004A51F8" w:rsidRPr="004A51F8">
        <w:rPr>
          <w:lang w:val="fr-FR"/>
        </w:rPr>
        <w:t xml:space="preserve">un accusé, de lésions aggravées </w:t>
      </w:r>
      <w:r w:rsidR="00E77576">
        <w:rPr>
          <w:lang w:val="fr-FR"/>
        </w:rPr>
        <w:t>ont été</w:t>
      </w:r>
      <w:r w:rsidR="004A51F8" w:rsidRPr="004A51F8">
        <w:rPr>
          <w:lang w:val="fr-FR"/>
        </w:rPr>
        <w:t xml:space="preserve"> prescr</w:t>
      </w:r>
      <w:r w:rsidR="00E77576">
        <w:rPr>
          <w:lang w:val="fr-FR"/>
        </w:rPr>
        <w:t>its</w:t>
      </w:r>
      <w:r w:rsidR="004A51F8" w:rsidRPr="004A51F8">
        <w:rPr>
          <w:lang w:val="fr-FR"/>
        </w:rPr>
        <w:t xml:space="preserve"> avant la décision d</w:t>
      </w:r>
      <w:r w:rsidR="00603708">
        <w:rPr>
          <w:lang w:val="fr-FR"/>
        </w:rPr>
        <w:t>’</w:t>
      </w:r>
      <w:r w:rsidR="004A51F8" w:rsidRPr="004A51F8">
        <w:rPr>
          <w:lang w:val="fr-FR"/>
        </w:rPr>
        <w:t>appel (</w:t>
      </w:r>
      <w:r w:rsidR="00595D2B" w:rsidRPr="00AC0DAF">
        <w:rPr>
          <w:lang w:val="fr-FR"/>
        </w:rPr>
        <w:t>paragraphe</w:t>
      </w:r>
      <w:r w:rsidR="004A51F8" w:rsidRPr="00AC0DAF">
        <w:rPr>
          <w:lang w:val="fr-FR"/>
        </w:rPr>
        <w:t xml:space="preserve"> </w:t>
      </w:r>
      <w:r w:rsidR="00A646D3" w:rsidRPr="00AC0DAF">
        <w:rPr>
          <w:lang w:val="fr-FR"/>
        </w:rPr>
        <w:t>61</w:t>
      </w:r>
      <w:r w:rsidR="004A51F8" w:rsidRPr="00AC0DAF">
        <w:rPr>
          <w:szCs w:val="24"/>
          <w:lang w:val="fr-FR"/>
        </w:rPr>
        <w:t xml:space="preserve"> </w:t>
      </w:r>
      <w:r w:rsidR="00595D2B" w:rsidRPr="00AC0DAF">
        <w:rPr>
          <w:szCs w:val="24"/>
          <w:lang w:val="fr-FR"/>
        </w:rPr>
        <w:t>ci-dessus</w:t>
      </w:r>
      <w:r w:rsidR="004A51F8" w:rsidRPr="004A51F8">
        <w:rPr>
          <w:lang w:val="fr-FR"/>
        </w:rPr>
        <w:t xml:space="preserve">). Le délit de lésions aggravées, </w:t>
      </w:r>
      <w:r w:rsidR="004A51F8" w:rsidRPr="004A51F8">
        <w:rPr>
          <w:szCs w:val="24"/>
          <w:lang w:val="fr-FR"/>
        </w:rPr>
        <w:t xml:space="preserve">pour lequel dix et neuf accusés avaient été condamnés respectivement en première et </w:t>
      </w:r>
      <w:r w:rsidR="00DD363E">
        <w:rPr>
          <w:szCs w:val="24"/>
          <w:lang w:val="fr-FR"/>
        </w:rPr>
        <w:t xml:space="preserve">en </w:t>
      </w:r>
      <w:r w:rsidR="004A51F8" w:rsidRPr="004A51F8">
        <w:rPr>
          <w:szCs w:val="24"/>
          <w:lang w:val="fr-FR"/>
        </w:rPr>
        <w:t>deuxième instance (</w:t>
      </w:r>
      <w:r w:rsidR="00595D2B" w:rsidRPr="00AC0DAF">
        <w:rPr>
          <w:szCs w:val="24"/>
          <w:lang w:val="fr-FR"/>
        </w:rPr>
        <w:t xml:space="preserve">paragraphes </w:t>
      </w:r>
      <w:r w:rsidR="00A646D3" w:rsidRPr="00AC0DAF">
        <w:rPr>
          <w:szCs w:val="24"/>
          <w:lang w:val="fr-FR"/>
        </w:rPr>
        <w:t xml:space="preserve">49 et </w:t>
      </w:r>
      <w:r w:rsidR="0010466F" w:rsidRPr="00AC0DAF">
        <w:rPr>
          <w:szCs w:val="24"/>
          <w:lang w:val="fr-FR"/>
        </w:rPr>
        <w:t>60</w:t>
      </w:r>
      <w:r w:rsidR="004A51F8" w:rsidRPr="00AC0DAF">
        <w:rPr>
          <w:szCs w:val="24"/>
          <w:lang w:val="fr-FR"/>
        </w:rPr>
        <w:t xml:space="preserve"> </w:t>
      </w:r>
      <w:r w:rsidR="00595D2B" w:rsidRPr="00AC0DAF">
        <w:rPr>
          <w:szCs w:val="24"/>
          <w:lang w:val="fr-FR"/>
        </w:rPr>
        <w:t>ci-dessus</w:t>
      </w:r>
      <w:r w:rsidR="004A51F8" w:rsidRPr="004A51F8">
        <w:rPr>
          <w:szCs w:val="24"/>
          <w:lang w:val="fr-FR"/>
        </w:rPr>
        <w:t>), a été déclaré prescrit par la Cour de cassation (</w:t>
      </w:r>
      <w:r w:rsidR="00595D2B" w:rsidRPr="00AC0DAF">
        <w:rPr>
          <w:szCs w:val="24"/>
          <w:lang w:val="fr-FR"/>
        </w:rPr>
        <w:t>paragraphes</w:t>
      </w:r>
      <w:r w:rsidR="00A646D3" w:rsidRPr="00AC0DAF">
        <w:rPr>
          <w:szCs w:val="24"/>
          <w:lang w:val="fr-FR"/>
        </w:rPr>
        <w:t xml:space="preserve"> 76</w:t>
      </w:r>
      <w:r w:rsidR="0010466F" w:rsidRPr="00AC0DAF">
        <w:rPr>
          <w:szCs w:val="24"/>
          <w:lang w:val="fr-FR"/>
        </w:rPr>
        <w:t xml:space="preserve"> et 79</w:t>
      </w:r>
      <w:r w:rsidR="00DD363E">
        <w:rPr>
          <w:szCs w:val="24"/>
          <w:lang w:val="fr-FR"/>
        </w:rPr>
        <w:t xml:space="preserve"> ci-dessus</w:t>
      </w:r>
      <w:r w:rsidR="004A51F8" w:rsidRPr="004A51F8">
        <w:rPr>
          <w:szCs w:val="24"/>
          <w:lang w:val="fr-FR"/>
        </w:rPr>
        <w:t>).</w:t>
      </w:r>
    </w:p>
    <w:p w:rsidR="004A51F8" w:rsidRPr="004A51F8" w:rsidRDefault="004A51F8" w:rsidP="00087856">
      <w:pPr>
        <w:pStyle w:val="ECHRPara"/>
        <w:rPr>
          <w:szCs w:val="24"/>
          <w:lang w:val="fr-FR"/>
        </w:rPr>
      </w:pPr>
      <w:r w:rsidRPr="009E1232">
        <w:rPr>
          <w:szCs w:val="24"/>
          <w:lang w:val="fr-FR"/>
        </w:rPr>
        <w:t xml:space="preserve">Pour ce qui est des événements </w:t>
      </w:r>
      <w:r w:rsidR="0015148A">
        <w:rPr>
          <w:szCs w:val="24"/>
          <w:lang w:val="fr-FR"/>
        </w:rPr>
        <w:t>ayant eu lieu à</w:t>
      </w:r>
      <w:r w:rsidR="0015148A" w:rsidRPr="009E1232">
        <w:rPr>
          <w:szCs w:val="24"/>
          <w:lang w:val="fr-FR"/>
        </w:rPr>
        <w:t xml:space="preserve"> </w:t>
      </w:r>
      <w:r w:rsidRPr="009E1232">
        <w:rPr>
          <w:szCs w:val="24"/>
          <w:lang w:val="fr-FR"/>
        </w:rPr>
        <w:t>l</w:t>
      </w:r>
      <w:r w:rsidR="00603708">
        <w:rPr>
          <w:szCs w:val="24"/>
          <w:lang w:val="fr-FR"/>
        </w:rPr>
        <w:t>’</w:t>
      </w:r>
      <w:r w:rsidRPr="009E1232">
        <w:rPr>
          <w:szCs w:val="24"/>
          <w:lang w:val="fr-FR"/>
        </w:rPr>
        <w:t xml:space="preserve">école Pascoli, les délits </w:t>
      </w:r>
      <w:r w:rsidR="00E77576" w:rsidRPr="009E1232">
        <w:rPr>
          <w:szCs w:val="24"/>
          <w:lang w:val="fr-FR"/>
        </w:rPr>
        <w:t xml:space="preserve">qui </w:t>
      </w:r>
      <w:r w:rsidRPr="009E1232">
        <w:rPr>
          <w:szCs w:val="24"/>
          <w:lang w:val="fr-FR"/>
        </w:rPr>
        <w:t>y</w:t>
      </w:r>
      <w:r w:rsidR="00E77576" w:rsidRPr="009E1232">
        <w:rPr>
          <w:szCs w:val="24"/>
          <w:lang w:val="fr-FR"/>
        </w:rPr>
        <w:t xml:space="preserve"> ont été</w:t>
      </w:r>
      <w:r w:rsidRPr="004A51F8">
        <w:rPr>
          <w:szCs w:val="24"/>
          <w:lang w:val="fr-FR"/>
        </w:rPr>
        <w:t xml:space="preserve"> commis dans le but d</w:t>
      </w:r>
      <w:r w:rsidR="00603708">
        <w:rPr>
          <w:szCs w:val="24"/>
          <w:lang w:val="fr-FR"/>
        </w:rPr>
        <w:t>’</w:t>
      </w:r>
      <w:r w:rsidRPr="004A51F8">
        <w:rPr>
          <w:szCs w:val="24"/>
          <w:lang w:val="fr-FR"/>
        </w:rPr>
        <w:t>effacer les preuves de l</w:t>
      </w:r>
      <w:r w:rsidR="00603708">
        <w:rPr>
          <w:szCs w:val="24"/>
          <w:lang w:val="fr-FR"/>
        </w:rPr>
        <w:t>’</w:t>
      </w:r>
      <w:r w:rsidRPr="004A51F8">
        <w:rPr>
          <w:szCs w:val="24"/>
          <w:lang w:val="fr-FR"/>
        </w:rPr>
        <w:t xml:space="preserve">irruption et des violences </w:t>
      </w:r>
      <w:r w:rsidR="00595D2B">
        <w:rPr>
          <w:szCs w:val="24"/>
          <w:lang w:val="fr-FR"/>
        </w:rPr>
        <w:t xml:space="preserve">perpétrées </w:t>
      </w:r>
      <w:r w:rsidRPr="004A51F8">
        <w:rPr>
          <w:szCs w:val="24"/>
          <w:lang w:val="fr-FR"/>
        </w:rPr>
        <w:t>dans l</w:t>
      </w:r>
      <w:r w:rsidR="00603708">
        <w:rPr>
          <w:szCs w:val="24"/>
          <w:lang w:val="fr-FR"/>
        </w:rPr>
        <w:t>’</w:t>
      </w:r>
      <w:r w:rsidRPr="004A51F8">
        <w:rPr>
          <w:szCs w:val="24"/>
          <w:lang w:val="fr-FR"/>
        </w:rPr>
        <w:t xml:space="preserve">école Diaz-Pertini ont également </w:t>
      </w:r>
      <w:r w:rsidR="00E77576">
        <w:rPr>
          <w:szCs w:val="24"/>
          <w:lang w:val="fr-FR"/>
        </w:rPr>
        <w:t>été</w:t>
      </w:r>
      <w:r w:rsidRPr="004A51F8">
        <w:rPr>
          <w:szCs w:val="24"/>
          <w:lang w:val="fr-FR"/>
        </w:rPr>
        <w:t xml:space="preserve"> prescri</w:t>
      </w:r>
      <w:r w:rsidR="00E77576">
        <w:rPr>
          <w:szCs w:val="24"/>
          <w:lang w:val="fr-FR"/>
        </w:rPr>
        <w:t>ts</w:t>
      </w:r>
      <w:r w:rsidRPr="004A51F8">
        <w:rPr>
          <w:szCs w:val="24"/>
          <w:lang w:val="fr-FR"/>
        </w:rPr>
        <w:t xml:space="preserve"> </w:t>
      </w:r>
      <w:r w:rsidRPr="004A51F8">
        <w:rPr>
          <w:lang w:val="fr-FR"/>
        </w:rPr>
        <w:t>avant la décision d</w:t>
      </w:r>
      <w:r w:rsidR="00603708">
        <w:rPr>
          <w:lang w:val="fr-FR"/>
        </w:rPr>
        <w:t>’</w:t>
      </w:r>
      <w:r w:rsidRPr="004A51F8">
        <w:rPr>
          <w:lang w:val="fr-FR"/>
        </w:rPr>
        <w:t>appel (</w:t>
      </w:r>
      <w:r w:rsidR="00595D2B" w:rsidRPr="00AC0DAF">
        <w:rPr>
          <w:lang w:val="fr-FR"/>
        </w:rPr>
        <w:t>paragraphe</w:t>
      </w:r>
      <w:r w:rsidRPr="00AC0DAF">
        <w:rPr>
          <w:lang w:val="fr-FR"/>
        </w:rPr>
        <w:t xml:space="preserve"> </w:t>
      </w:r>
      <w:r w:rsidR="0010466F" w:rsidRPr="00AC0DAF">
        <w:rPr>
          <w:lang w:val="fr-FR"/>
        </w:rPr>
        <w:t>83</w:t>
      </w:r>
      <w:r w:rsidRPr="00AC0DAF">
        <w:rPr>
          <w:lang w:val="fr-FR"/>
        </w:rPr>
        <w:t xml:space="preserve"> </w:t>
      </w:r>
      <w:r w:rsidR="00595D2B" w:rsidRPr="00AC0DAF">
        <w:rPr>
          <w:lang w:val="fr-FR"/>
        </w:rPr>
        <w:t>ci-dessus</w:t>
      </w:r>
      <w:r w:rsidRPr="004A51F8">
        <w:rPr>
          <w:lang w:val="fr-FR"/>
        </w:rPr>
        <w:t>).</w:t>
      </w:r>
    </w:p>
    <w:p w:rsidR="0032468C" w:rsidRDefault="00691803" w:rsidP="0008785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220</w:t>
      </w:r>
      <w:r>
        <w:rPr>
          <w:lang w:val="fr-FR"/>
        </w:rPr>
        <w:fldChar w:fldCharType="end"/>
      </w:r>
      <w:r>
        <w:rPr>
          <w:lang w:val="fr-FR"/>
        </w:rPr>
        <w:t>.  </w:t>
      </w:r>
      <w:r w:rsidR="0015148A">
        <w:rPr>
          <w:lang w:val="fr-FR"/>
        </w:rPr>
        <w:t>Seules</w:t>
      </w:r>
      <w:r w:rsidR="004A51F8" w:rsidRPr="004A51F8">
        <w:rPr>
          <w:lang w:val="fr-FR"/>
        </w:rPr>
        <w:t xml:space="preserve"> des condamnations à des peines comprises entre trois ans et trois mois et quatre ans d</w:t>
      </w:r>
      <w:r w:rsidR="00603708">
        <w:rPr>
          <w:lang w:val="fr-FR"/>
        </w:rPr>
        <w:t>’</w:t>
      </w:r>
      <w:r w:rsidR="004A51F8" w:rsidRPr="004A51F8">
        <w:rPr>
          <w:lang w:val="fr-FR"/>
        </w:rPr>
        <w:t>emprisonnement, en plus de l</w:t>
      </w:r>
      <w:r w:rsidR="00603708">
        <w:rPr>
          <w:lang w:val="fr-FR"/>
        </w:rPr>
        <w:t>’</w:t>
      </w:r>
      <w:r w:rsidR="004A51F8" w:rsidRPr="004A51F8">
        <w:rPr>
          <w:lang w:val="fr-FR"/>
        </w:rPr>
        <w:t xml:space="preserve">interdiction </w:t>
      </w:r>
      <w:r w:rsidR="0015148A">
        <w:rPr>
          <w:lang w:val="fr-FR"/>
        </w:rPr>
        <w:t>d</w:t>
      </w:r>
      <w:r w:rsidR="00603708">
        <w:rPr>
          <w:lang w:val="fr-FR"/>
        </w:rPr>
        <w:t>’</w:t>
      </w:r>
      <w:r w:rsidR="0015148A">
        <w:rPr>
          <w:lang w:val="fr-FR"/>
        </w:rPr>
        <w:t xml:space="preserve">exercer </w:t>
      </w:r>
      <w:r w:rsidR="004A51F8" w:rsidRPr="004A51F8">
        <w:rPr>
          <w:lang w:val="fr-FR"/>
        </w:rPr>
        <w:t xml:space="preserve">pour </w:t>
      </w:r>
      <w:r w:rsidR="00E77576">
        <w:rPr>
          <w:lang w:val="fr-FR"/>
        </w:rPr>
        <w:t xml:space="preserve">une durée de </w:t>
      </w:r>
      <w:r w:rsidR="004A51F8" w:rsidRPr="004A51F8">
        <w:rPr>
          <w:lang w:val="fr-FR"/>
        </w:rPr>
        <w:t xml:space="preserve">cinq ans des fonctions publiques, ont </w:t>
      </w:r>
      <w:r w:rsidR="0015148A">
        <w:rPr>
          <w:lang w:val="fr-FR"/>
        </w:rPr>
        <w:t xml:space="preserve">donc </w:t>
      </w:r>
      <w:r w:rsidR="004A51F8" w:rsidRPr="004A51F8">
        <w:rPr>
          <w:lang w:val="fr-FR"/>
        </w:rPr>
        <w:t xml:space="preserve">été </w:t>
      </w:r>
      <w:r w:rsidR="0015148A">
        <w:rPr>
          <w:lang w:val="fr-FR"/>
        </w:rPr>
        <w:t xml:space="preserve">prononcées </w:t>
      </w:r>
      <w:r w:rsidR="00DD363E">
        <w:rPr>
          <w:lang w:val="fr-FR"/>
        </w:rPr>
        <w:t xml:space="preserve">pour </w:t>
      </w:r>
      <w:r w:rsidR="004A51F8" w:rsidRPr="004A51F8">
        <w:rPr>
          <w:lang w:val="fr-FR"/>
        </w:rPr>
        <w:t>faux</w:t>
      </w:r>
      <w:r w:rsidR="00DD363E">
        <w:rPr>
          <w:lang w:val="fr-FR"/>
        </w:rPr>
        <w:t xml:space="preserve"> intellectuel</w:t>
      </w:r>
      <w:r w:rsidR="004A51F8" w:rsidRPr="004A51F8">
        <w:rPr>
          <w:lang w:val="fr-FR"/>
        </w:rPr>
        <w:t xml:space="preserve"> (dix-sept accusés) et port abusif d</w:t>
      </w:r>
      <w:r w:rsidR="00603708">
        <w:rPr>
          <w:lang w:val="fr-FR"/>
        </w:rPr>
        <w:t>’</w:t>
      </w:r>
      <w:r w:rsidR="004A51F8" w:rsidRPr="004A51F8">
        <w:rPr>
          <w:lang w:val="fr-FR"/>
        </w:rPr>
        <w:t>armes de guerre (un accusé) (</w:t>
      </w:r>
      <w:r w:rsidR="00595D2B" w:rsidRPr="00AC0DAF">
        <w:rPr>
          <w:lang w:val="fr-FR"/>
        </w:rPr>
        <w:t>paragraphe</w:t>
      </w:r>
      <w:r w:rsidR="0010466F" w:rsidRPr="00AC0DAF">
        <w:rPr>
          <w:lang w:val="fr-FR"/>
        </w:rPr>
        <w:t xml:space="preserve"> </w:t>
      </w:r>
      <w:r w:rsidR="004A51F8" w:rsidRPr="00AC0DAF">
        <w:rPr>
          <w:lang w:val="fr-FR"/>
        </w:rPr>
        <w:t>6</w:t>
      </w:r>
      <w:r w:rsidR="0010466F" w:rsidRPr="00AC0DAF">
        <w:rPr>
          <w:lang w:val="fr-FR"/>
        </w:rPr>
        <w:t>0</w:t>
      </w:r>
      <w:r w:rsidR="00595D2B" w:rsidRPr="00AC0DAF">
        <w:rPr>
          <w:lang w:val="fr-FR"/>
        </w:rPr>
        <w:t xml:space="preserve"> ci-dessus</w:t>
      </w:r>
      <w:r w:rsidR="004A51F8" w:rsidRPr="004A51F8">
        <w:rPr>
          <w:szCs w:val="24"/>
          <w:lang w:val="fr-FR"/>
        </w:rPr>
        <w:t>)</w:t>
      </w:r>
      <w:r w:rsidR="004A51F8" w:rsidRPr="004A51F8">
        <w:rPr>
          <w:lang w:val="fr-FR"/>
        </w:rPr>
        <w:t>.</w:t>
      </w:r>
    </w:p>
    <w:p w:rsidR="0032468C" w:rsidRDefault="0096389B" w:rsidP="002C2892">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221</w:t>
      </w:r>
      <w:r>
        <w:rPr>
          <w:lang w:val="fr-FR"/>
        </w:rPr>
        <w:fldChar w:fldCharType="end"/>
      </w:r>
      <w:r>
        <w:rPr>
          <w:lang w:val="fr-FR"/>
        </w:rPr>
        <w:t>.  </w:t>
      </w:r>
      <w:r w:rsidR="002F032D">
        <w:rPr>
          <w:lang w:val="fr-FR"/>
        </w:rPr>
        <w:t>En somme, à</w:t>
      </w:r>
      <w:r w:rsidR="004A51F8" w:rsidRPr="004A51F8">
        <w:rPr>
          <w:lang w:val="fr-FR"/>
        </w:rPr>
        <w:t xml:space="preserve"> l</w:t>
      </w:r>
      <w:r w:rsidR="00603708">
        <w:rPr>
          <w:lang w:val="fr-FR"/>
        </w:rPr>
        <w:t>’</w:t>
      </w:r>
      <w:r w:rsidR="004A51F8" w:rsidRPr="004A51F8">
        <w:rPr>
          <w:lang w:val="fr-FR"/>
        </w:rPr>
        <w:t>issue de la procédure pénale</w:t>
      </w:r>
      <w:r w:rsidR="00E77576">
        <w:rPr>
          <w:lang w:val="fr-FR"/>
        </w:rPr>
        <w:t>,</w:t>
      </w:r>
      <w:r w:rsidR="004A51F8" w:rsidRPr="004A51F8">
        <w:rPr>
          <w:lang w:val="fr-FR"/>
        </w:rPr>
        <w:t xml:space="preserve"> </w:t>
      </w:r>
      <w:r w:rsidR="004A51F8" w:rsidRPr="0096389B">
        <w:rPr>
          <w:lang w:val="fr-FR"/>
        </w:rPr>
        <w:t>personne n</w:t>
      </w:r>
      <w:r w:rsidR="00603708">
        <w:rPr>
          <w:lang w:val="fr-FR"/>
        </w:rPr>
        <w:t>’</w:t>
      </w:r>
      <w:r w:rsidR="004A51F8" w:rsidRPr="0096389B">
        <w:rPr>
          <w:lang w:val="fr-FR"/>
        </w:rPr>
        <w:t>a été condamné en raison des mauvais traitements perpétrés dans l</w:t>
      </w:r>
      <w:r w:rsidR="00603708">
        <w:rPr>
          <w:lang w:val="fr-FR"/>
        </w:rPr>
        <w:t>’</w:t>
      </w:r>
      <w:r w:rsidR="004A51F8" w:rsidRPr="0096389B">
        <w:rPr>
          <w:lang w:val="fr-FR"/>
        </w:rPr>
        <w:t xml:space="preserve">école Diaz-Pertini à </w:t>
      </w:r>
      <w:r w:rsidR="0015148A">
        <w:rPr>
          <w:lang w:val="fr-FR"/>
        </w:rPr>
        <w:t>l</w:t>
      </w:r>
      <w:r w:rsidR="00603708">
        <w:rPr>
          <w:lang w:val="fr-FR"/>
        </w:rPr>
        <w:t>’</w:t>
      </w:r>
      <w:r w:rsidR="0015148A">
        <w:rPr>
          <w:lang w:val="fr-FR"/>
        </w:rPr>
        <w:t>encontre</w:t>
      </w:r>
      <w:r w:rsidR="004A51F8" w:rsidRPr="0096389B">
        <w:rPr>
          <w:lang w:val="fr-FR"/>
        </w:rPr>
        <w:t xml:space="preserve">, </w:t>
      </w:r>
      <w:r w:rsidRPr="0096389B">
        <w:rPr>
          <w:lang w:val="fr-FR"/>
        </w:rPr>
        <w:t>notamment</w:t>
      </w:r>
      <w:r w:rsidR="004A51F8" w:rsidRPr="0096389B">
        <w:rPr>
          <w:lang w:val="fr-FR"/>
        </w:rPr>
        <w:t xml:space="preserve">, du requérant, les délits de lésions simples et </w:t>
      </w:r>
      <w:r w:rsidR="004A51F8" w:rsidRPr="009E1232">
        <w:rPr>
          <w:lang w:val="fr-FR"/>
        </w:rPr>
        <w:t xml:space="preserve">aggravées </w:t>
      </w:r>
      <w:r w:rsidR="009E1232" w:rsidRPr="000B5793">
        <w:rPr>
          <w:lang w:val="fr-FR"/>
        </w:rPr>
        <w:t>ayant été frappés de</w:t>
      </w:r>
      <w:r w:rsidR="004A51F8" w:rsidRPr="009E1232">
        <w:rPr>
          <w:lang w:val="fr-FR"/>
        </w:rPr>
        <w:t xml:space="preserve"> prescription. En effet, les condamnations</w:t>
      </w:r>
      <w:r w:rsidR="004A51F8" w:rsidRPr="004A51F8">
        <w:rPr>
          <w:lang w:val="fr-FR"/>
        </w:rPr>
        <w:t xml:space="preserve"> confirmées par la Cour d</w:t>
      </w:r>
      <w:r w:rsidR="00EA0A70">
        <w:rPr>
          <w:lang w:val="fr-FR"/>
        </w:rPr>
        <w:t>e cassation concernent plutôt les</w:t>
      </w:r>
      <w:r w:rsidR="004A51F8" w:rsidRPr="004A51F8">
        <w:rPr>
          <w:lang w:val="fr-FR"/>
        </w:rPr>
        <w:t xml:space="preserve"> tentative</w:t>
      </w:r>
      <w:r w:rsidR="00EA0A70">
        <w:rPr>
          <w:lang w:val="fr-FR"/>
        </w:rPr>
        <w:t>s</w:t>
      </w:r>
      <w:r w:rsidR="00691803">
        <w:rPr>
          <w:lang w:val="fr-FR"/>
        </w:rPr>
        <w:t xml:space="preserve"> de justifi</w:t>
      </w:r>
      <w:r w:rsidR="0015148A">
        <w:rPr>
          <w:lang w:val="fr-FR"/>
        </w:rPr>
        <w:t>cation de</w:t>
      </w:r>
      <w:r w:rsidR="00691803">
        <w:rPr>
          <w:lang w:val="fr-FR"/>
        </w:rPr>
        <w:t xml:space="preserve"> c</w:t>
      </w:r>
      <w:r w:rsidR="004A51F8" w:rsidRPr="004A51F8">
        <w:rPr>
          <w:lang w:val="fr-FR"/>
        </w:rPr>
        <w:t>es mauvais traitements et l</w:t>
      </w:r>
      <w:r w:rsidR="00603708">
        <w:rPr>
          <w:lang w:val="fr-FR"/>
        </w:rPr>
        <w:t>’</w:t>
      </w:r>
      <w:r w:rsidR="004A51F8" w:rsidRPr="004A51F8">
        <w:rPr>
          <w:lang w:val="fr-FR"/>
        </w:rPr>
        <w:t xml:space="preserve">absence de base factuelle et juridique </w:t>
      </w:r>
      <w:r w:rsidR="0015148A">
        <w:rPr>
          <w:lang w:val="fr-FR"/>
        </w:rPr>
        <w:t>pour</w:t>
      </w:r>
      <w:r w:rsidR="00E77576">
        <w:rPr>
          <w:lang w:val="fr-FR"/>
        </w:rPr>
        <w:t xml:space="preserve"> </w:t>
      </w:r>
      <w:r w:rsidR="004A51F8" w:rsidRPr="004A51F8">
        <w:rPr>
          <w:lang w:val="fr-FR"/>
        </w:rPr>
        <w:t>l</w:t>
      </w:r>
      <w:r w:rsidR="00603708">
        <w:rPr>
          <w:lang w:val="fr-FR"/>
        </w:rPr>
        <w:t>’</w:t>
      </w:r>
      <w:r w:rsidR="004A51F8" w:rsidRPr="004A51F8">
        <w:rPr>
          <w:lang w:val="fr-FR"/>
        </w:rPr>
        <w:t>arrestation des occupants de l</w:t>
      </w:r>
      <w:r w:rsidR="00603708">
        <w:rPr>
          <w:lang w:val="fr-FR"/>
        </w:rPr>
        <w:t>’</w:t>
      </w:r>
      <w:r w:rsidR="004A51F8" w:rsidRPr="004A51F8">
        <w:rPr>
          <w:lang w:val="fr-FR"/>
        </w:rPr>
        <w:t>école Diaz-Pertini</w:t>
      </w:r>
      <w:r w:rsidR="00EA0A70">
        <w:rPr>
          <w:lang w:val="fr-FR"/>
        </w:rPr>
        <w:t xml:space="preserve"> (</w:t>
      </w:r>
      <w:r w:rsidR="0010466F" w:rsidRPr="00AC0DAF">
        <w:rPr>
          <w:lang w:val="fr-FR"/>
        </w:rPr>
        <w:t>paragraphes 76, 79 et 80</w:t>
      </w:r>
      <w:r w:rsidR="005A0443" w:rsidRPr="00AC0DAF">
        <w:rPr>
          <w:lang w:val="fr-FR"/>
        </w:rPr>
        <w:t xml:space="preserve"> ci-dessus</w:t>
      </w:r>
      <w:r w:rsidR="00EA0A70">
        <w:rPr>
          <w:lang w:val="fr-FR"/>
        </w:rPr>
        <w:t>)</w:t>
      </w:r>
      <w:r w:rsidR="004A51F8" w:rsidRPr="004A51F8">
        <w:rPr>
          <w:lang w:val="fr-FR"/>
        </w:rPr>
        <w:t>.</w:t>
      </w:r>
    </w:p>
    <w:p w:rsidR="0032468C" w:rsidRDefault="004A51F8" w:rsidP="00087856">
      <w:pPr>
        <w:pStyle w:val="ECHRPara"/>
        <w:rPr>
          <w:lang w:val="fr-FR"/>
        </w:rPr>
      </w:pPr>
      <w:r w:rsidRPr="004A51F8">
        <w:rPr>
          <w:lang w:val="fr-FR"/>
        </w:rPr>
        <w:t xml:space="preserve">De surcroît, </w:t>
      </w:r>
      <w:r w:rsidR="00471C6B" w:rsidRPr="004A51F8">
        <w:rPr>
          <w:lang w:val="fr-FR"/>
        </w:rPr>
        <w:t>en application de la loi n</w:t>
      </w:r>
      <w:r w:rsidR="00471C6B" w:rsidRPr="004A51F8">
        <w:rPr>
          <w:vertAlign w:val="superscript"/>
          <w:lang w:val="fr-FR"/>
        </w:rPr>
        <w:t>o</w:t>
      </w:r>
      <w:r w:rsidR="00471C6B" w:rsidRPr="004A51F8">
        <w:rPr>
          <w:lang w:val="fr-FR"/>
        </w:rPr>
        <w:t xml:space="preserve"> 241 du 29 juillet 2006, établissant les conditions </w:t>
      </w:r>
      <w:r w:rsidR="0052600B">
        <w:rPr>
          <w:lang w:val="fr-FR"/>
        </w:rPr>
        <w:t xml:space="preserve">à remplir </w:t>
      </w:r>
      <w:r w:rsidR="00471C6B" w:rsidRPr="004A51F8">
        <w:rPr>
          <w:lang w:val="fr-FR"/>
        </w:rPr>
        <w:t>pour l</w:t>
      </w:r>
      <w:r w:rsidR="00603708">
        <w:rPr>
          <w:lang w:val="fr-FR"/>
        </w:rPr>
        <w:t>’</w:t>
      </w:r>
      <w:r w:rsidR="00471C6B" w:rsidRPr="004A51F8">
        <w:rPr>
          <w:lang w:val="fr-FR"/>
        </w:rPr>
        <w:t>octroi d</w:t>
      </w:r>
      <w:r w:rsidR="00603708">
        <w:rPr>
          <w:lang w:val="fr-FR"/>
        </w:rPr>
        <w:t>’</w:t>
      </w:r>
      <w:r w:rsidR="00471C6B" w:rsidRPr="004A51F8">
        <w:rPr>
          <w:lang w:val="fr-FR"/>
        </w:rPr>
        <w:t>une remise générale de peine (</w:t>
      </w:r>
      <w:r w:rsidR="00471C6B" w:rsidRPr="004A51F8">
        <w:rPr>
          <w:rStyle w:val="ju-005fpara--char"/>
          <w:i/>
          <w:iCs/>
          <w:lang w:val="fr-FR"/>
        </w:rPr>
        <w:t>indulto</w:t>
      </w:r>
      <w:r w:rsidR="00471C6B" w:rsidRPr="004A51F8">
        <w:rPr>
          <w:lang w:val="fr-FR"/>
        </w:rPr>
        <w:t xml:space="preserve">), </w:t>
      </w:r>
      <w:r w:rsidR="00471C6B">
        <w:rPr>
          <w:lang w:val="fr-FR"/>
        </w:rPr>
        <w:t>l</w:t>
      </w:r>
      <w:r w:rsidR="00471C6B" w:rsidRPr="004A51F8">
        <w:rPr>
          <w:lang w:val="fr-FR"/>
        </w:rPr>
        <w:t xml:space="preserve">es peines </w:t>
      </w:r>
      <w:r w:rsidR="00471C6B">
        <w:rPr>
          <w:lang w:val="fr-FR"/>
        </w:rPr>
        <w:t>ont été</w:t>
      </w:r>
      <w:r w:rsidR="00471C6B" w:rsidRPr="004A51F8">
        <w:rPr>
          <w:lang w:val="fr-FR"/>
        </w:rPr>
        <w:t xml:space="preserve"> réduites de trois ans</w:t>
      </w:r>
      <w:r w:rsidR="00471C6B">
        <w:rPr>
          <w:lang w:val="fr-FR"/>
        </w:rPr>
        <w:t xml:space="preserve"> (</w:t>
      </w:r>
      <w:r w:rsidR="00471C6B" w:rsidRPr="00AC0DAF">
        <w:rPr>
          <w:lang w:val="fr-FR"/>
        </w:rPr>
        <w:t>paragraphes 50 et 60 ci-dessus</w:t>
      </w:r>
      <w:r w:rsidR="00471C6B">
        <w:rPr>
          <w:lang w:val="fr-FR"/>
        </w:rPr>
        <w:t>). Il s</w:t>
      </w:r>
      <w:r w:rsidR="00603708">
        <w:rPr>
          <w:lang w:val="fr-FR"/>
        </w:rPr>
        <w:t>’</w:t>
      </w:r>
      <w:r w:rsidR="00471C6B">
        <w:rPr>
          <w:lang w:val="fr-FR"/>
        </w:rPr>
        <w:t xml:space="preserve">ensuit que les condamnés </w:t>
      </w:r>
      <w:r w:rsidRPr="0096389B">
        <w:rPr>
          <w:lang w:val="fr-FR"/>
        </w:rPr>
        <w:t>devront purger, au pire, des peines comprises entre trois mois et un an d</w:t>
      </w:r>
      <w:r w:rsidR="00603708">
        <w:rPr>
          <w:lang w:val="fr-FR"/>
        </w:rPr>
        <w:t>’</w:t>
      </w:r>
      <w:r w:rsidR="009E1232">
        <w:rPr>
          <w:lang w:val="fr-FR"/>
        </w:rPr>
        <w:t>emprisonnement</w:t>
      </w:r>
      <w:r w:rsidRPr="004A51F8">
        <w:rPr>
          <w:lang w:val="fr-FR"/>
        </w:rPr>
        <w:t>.</w:t>
      </w:r>
    </w:p>
    <w:p w:rsidR="0032468C" w:rsidRPr="000B27D7" w:rsidRDefault="002C2892" w:rsidP="00087856">
      <w:pPr>
        <w:pStyle w:val="ECHRPara"/>
        <w:rPr>
          <w:lang w:val="fr-FR"/>
        </w:rPr>
      </w:pPr>
      <w:r>
        <w:rPr>
          <w:lang w:val="fr-FR"/>
        </w:rPr>
        <w:fldChar w:fldCharType="begin"/>
      </w:r>
      <w:r w:rsidRPr="002C2892">
        <w:rPr>
          <w:lang w:val="fr-FR"/>
        </w:rPr>
        <w:instrText xml:space="preserve"> SEQ level0 \*arabic </w:instrText>
      </w:r>
      <w:r>
        <w:rPr>
          <w:lang w:val="fr-FR"/>
        </w:rPr>
        <w:fldChar w:fldCharType="separate"/>
      </w:r>
      <w:r w:rsidR="00B378F9">
        <w:rPr>
          <w:noProof/>
          <w:lang w:val="fr-FR"/>
        </w:rPr>
        <w:t>222</w:t>
      </w:r>
      <w:r>
        <w:rPr>
          <w:lang w:val="fr-FR"/>
        </w:rPr>
        <w:fldChar w:fldCharType="end"/>
      </w:r>
      <w:r>
        <w:rPr>
          <w:lang w:val="fr-FR"/>
        </w:rPr>
        <w:t>.</w:t>
      </w:r>
      <w:r w:rsidR="0052600B">
        <w:rPr>
          <w:lang w:val="fr-FR"/>
        </w:rPr>
        <w:t>  </w:t>
      </w:r>
      <w:r w:rsidR="005B59A5" w:rsidRPr="000F0C1D">
        <w:rPr>
          <w:lang w:val="fr-FR"/>
        </w:rPr>
        <w:t>Eu égard</w:t>
      </w:r>
      <w:r w:rsidR="009A7B53" w:rsidRPr="000F0C1D">
        <w:rPr>
          <w:lang w:val="fr-FR"/>
        </w:rPr>
        <w:t xml:space="preserve"> </w:t>
      </w:r>
      <w:r w:rsidR="001733F7" w:rsidRPr="000F0C1D">
        <w:rPr>
          <w:lang w:val="fr-FR"/>
        </w:rPr>
        <w:t>à</w:t>
      </w:r>
      <w:r w:rsidR="009A7B53" w:rsidRPr="000F0C1D">
        <w:rPr>
          <w:lang w:val="fr-FR"/>
        </w:rPr>
        <w:t xml:space="preserve"> ce qui précède</w:t>
      </w:r>
      <w:r w:rsidR="00D10D83" w:rsidRPr="000F0C1D">
        <w:rPr>
          <w:lang w:val="fr-FR"/>
        </w:rPr>
        <w:t>, la</w:t>
      </w:r>
      <w:r w:rsidR="00C64FA4" w:rsidRPr="000F0C1D">
        <w:rPr>
          <w:lang w:val="fr-FR"/>
        </w:rPr>
        <w:t xml:space="preserve"> Cour estime que</w:t>
      </w:r>
      <w:r w:rsidR="00681415">
        <w:rPr>
          <w:b/>
          <w:lang w:val="fr-FR"/>
        </w:rPr>
        <w:t xml:space="preserve"> </w:t>
      </w:r>
      <w:r w:rsidR="00C64FA4" w:rsidRPr="000B27D7">
        <w:rPr>
          <w:lang w:val="fr-FR"/>
        </w:rPr>
        <w:t xml:space="preserve">la </w:t>
      </w:r>
      <w:r w:rsidR="005B59A5" w:rsidRPr="000B27D7">
        <w:rPr>
          <w:lang w:val="fr-FR"/>
        </w:rPr>
        <w:t>réaction des autorités n</w:t>
      </w:r>
      <w:r w:rsidR="00603708">
        <w:rPr>
          <w:lang w:val="fr-FR"/>
        </w:rPr>
        <w:t>’</w:t>
      </w:r>
      <w:r w:rsidR="005B59A5" w:rsidRPr="000B27D7">
        <w:rPr>
          <w:lang w:val="fr-FR"/>
        </w:rPr>
        <w:t>a pas été adéquate compte tenu de la gravité des faits</w:t>
      </w:r>
      <w:r w:rsidRPr="000B27D7">
        <w:rPr>
          <w:lang w:val="fr-FR"/>
        </w:rPr>
        <w:t>.</w:t>
      </w:r>
      <w:r w:rsidR="005B59A5" w:rsidRPr="000B27D7">
        <w:rPr>
          <w:lang w:val="fr-FR"/>
        </w:rPr>
        <w:t xml:space="preserve"> Ce qui, par conséquent, la rend incompatible avec les obligations procédurales découlant de l</w:t>
      </w:r>
      <w:r w:rsidR="00603708">
        <w:rPr>
          <w:lang w:val="fr-FR"/>
        </w:rPr>
        <w:t>’</w:t>
      </w:r>
      <w:r w:rsidR="005B59A5" w:rsidRPr="000B27D7">
        <w:rPr>
          <w:lang w:val="fr-FR"/>
        </w:rPr>
        <w:t>article 3 de la Convention.</w:t>
      </w:r>
    </w:p>
    <w:p w:rsidR="00EA0A70" w:rsidRDefault="00DA6376" w:rsidP="00B44EFD">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223</w:t>
      </w:r>
      <w:r>
        <w:rPr>
          <w:lang w:val="fr-FR"/>
        </w:rPr>
        <w:fldChar w:fldCharType="end"/>
      </w:r>
      <w:r>
        <w:rPr>
          <w:lang w:val="fr-FR"/>
        </w:rPr>
        <w:t>.  </w:t>
      </w:r>
      <w:r w:rsidR="0052600B" w:rsidRPr="00B919FF">
        <w:rPr>
          <w:rFonts w:cstheme="minorHAnsi"/>
          <w:lang w:val="fr-FR"/>
        </w:rPr>
        <w:t>À</w:t>
      </w:r>
      <w:r w:rsidR="0052600B">
        <w:rPr>
          <w:lang w:val="fr-FR"/>
        </w:rPr>
        <w:t xml:space="preserve"> l</w:t>
      </w:r>
      <w:r w:rsidR="00603708">
        <w:rPr>
          <w:lang w:val="fr-FR"/>
        </w:rPr>
        <w:t>’</w:t>
      </w:r>
      <w:r w:rsidR="0052600B">
        <w:rPr>
          <w:lang w:val="fr-FR"/>
        </w:rPr>
        <w:t>inverse de</w:t>
      </w:r>
      <w:r w:rsidR="00F75361">
        <w:rPr>
          <w:lang w:val="fr-FR"/>
        </w:rPr>
        <w:t xml:space="preserve"> ce qu</w:t>
      </w:r>
      <w:r w:rsidR="00603708">
        <w:rPr>
          <w:lang w:val="fr-FR"/>
        </w:rPr>
        <w:t>’</w:t>
      </w:r>
      <w:r w:rsidR="00F75361">
        <w:rPr>
          <w:lang w:val="fr-FR"/>
        </w:rPr>
        <w:t>elle a jugé dans</w:t>
      </w:r>
      <w:r w:rsidR="00953804">
        <w:rPr>
          <w:lang w:val="fr-FR"/>
        </w:rPr>
        <w:t xml:space="preserve"> d</w:t>
      </w:r>
      <w:r w:rsidR="00603708">
        <w:rPr>
          <w:lang w:val="fr-FR"/>
        </w:rPr>
        <w:t>’</w:t>
      </w:r>
      <w:r w:rsidR="00953804">
        <w:rPr>
          <w:lang w:val="fr-FR"/>
        </w:rPr>
        <w:t>autres affaires</w:t>
      </w:r>
      <w:r w:rsidR="00F75361">
        <w:rPr>
          <w:lang w:val="fr-FR"/>
        </w:rPr>
        <w:t xml:space="preserve"> </w:t>
      </w:r>
      <w:r w:rsidR="00F75361" w:rsidRPr="004A51F8">
        <w:rPr>
          <w:lang w:val="fr-FR"/>
        </w:rPr>
        <w:t xml:space="preserve">(voir, par exemple, </w:t>
      </w:r>
      <w:r w:rsidR="00F75361" w:rsidRPr="004A51F8">
        <w:rPr>
          <w:i/>
          <w:lang w:val="fr-FR"/>
        </w:rPr>
        <w:t>Bat</w:t>
      </w:r>
      <w:r w:rsidR="006A0E0D">
        <w:rPr>
          <w:rFonts w:cstheme="minorHAnsi"/>
          <w:i/>
          <w:lang w:val="fr-FR"/>
        </w:rPr>
        <w:t>ı</w:t>
      </w:r>
      <w:r w:rsidR="00F75361" w:rsidRPr="004A51F8">
        <w:rPr>
          <w:i/>
          <w:lang w:val="fr-FR"/>
        </w:rPr>
        <w:t xml:space="preserve"> et autres</w:t>
      </w:r>
      <w:r w:rsidR="00F75361" w:rsidRPr="004A51F8">
        <w:rPr>
          <w:lang w:val="fr-FR"/>
        </w:rPr>
        <w:t>, précité, §§ 142-147</w:t>
      </w:r>
      <w:r w:rsidR="0052600B">
        <w:rPr>
          <w:lang w:val="fr-FR"/>
        </w:rPr>
        <w:t>,</w:t>
      </w:r>
      <w:r w:rsidR="00F75361" w:rsidRPr="004A51F8">
        <w:rPr>
          <w:lang w:val="fr-FR"/>
        </w:rPr>
        <w:t xml:space="preserve"> </w:t>
      </w:r>
      <w:r w:rsidR="00F75361" w:rsidRPr="004A51F8">
        <w:rPr>
          <w:i/>
          <w:lang w:val="fr-FR"/>
        </w:rPr>
        <w:t>Erdal Aslan</w:t>
      </w:r>
      <w:r w:rsidR="00F75361" w:rsidRPr="004A51F8">
        <w:rPr>
          <w:lang w:val="fr-FR"/>
        </w:rPr>
        <w:t>, précité, §§ 76-77</w:t>
      </w:r>
      <w:r w:rsidR="0052600B">
        <w:rPr>
          <w:lang w:val="fr-FR"/>
        </w:rPr>
        <w:t>,</w:t>
      </w:r>
      <w:r w:rsidR="00F75361" w:rsidRPr="004A51F8">
        <w:rPr>
          <w:lang w:val="fr-FR"/>
        </w:rPr>
        <w:t xml:space="preserve"> </w:t>
      </w:r>
      <w:r w:rsidR="00F75361" w:rsidRPr="004A51F8">
        <w:rPr>
          <w:i/>
          <w:szCs w:val="24"/>
          <w:lang w:val="fr-FR"/>
        </w:rPr>
        <w:t>Abdülsamet Yaman</w:t>
      </w:r>
      <w:r w:rsidR="00F75361" w:rsidRPr="004A51F8">
        <w:rPr>
          <w:szCs w:val="24"/>
          <w:lang w:val="fr-FR"/>
        </w:rPr>
        <w:t xml:space="preserve">, précité, §§ </w:t>
      </w:r>
      <w:r w:rsidR="00F75361" w:rsidRPr="004A51F8">
        <w:rPr>
          <w:lang w:val="fr-FR"/>
        </w:rPr>
        <w:t>57-59</w:t>
      </w:r>
      <w:r w:rsidR="0052600B">
        <w:rPr>
          <w:lang w:val="fr-FR"/>
        </w:rPr>
        <w:t>, et</w:t>
      </w:r>
      <w:r w:rsidR="00F75361" w:rsidRPr="004A51F8">
        <w:rPr>
          <w:lang w:val="fr-FR"/>
        </w:rPr>
        <w:t xml:space="preserve"> </w:t>
      </w:r>
      <w:r w:rsidR="00F75361" w:rsidRPr="004A51F8">
        <w:rPr>
          <w:i/>
          <w:lang w:val="fr-FR"/>
        </w:rPr>
        <w:t>Hüseyin Şimşek</w:t>
      </w:r>
      <w:r w:rsidR="00F75361">
        <w:rPr>
          <w:lang w:val="fr-FR"/>
        </w:rPr>
        <w:t xml:space="preserve">, précité, §§ 68-70), la Cour </w:t>
      </w:r>
      <w:r w:rsidR="00D76F72">
        <w:rPr>
          <w:lang w:val="fr-FR"/>
        </w:rPr>
        <w:t xml:space="preserve">considère </w:t>
      </w:r>
      <w:r w:rsidR="00F75361">
        <w:rPr>
          <w:lang w:val="fr-FR"/>
        </w:rPr>
        <w:t>que ce résultat n</w:t>
      </w:r>
      <w:r w:rsidR="00603708">
        <w:rPr>
          <w:lang w:val="fr-FR"/>
        </w:rPr>
        <w:t>’</w:t>
      </w:r>
      <w:r w:rsidR="00F75361">
        <w:rPr>
          <w:lang w:val="fr-FR"/>
        </w:rPr>
        <w:t>est pas imputable</w:t>
      </w:r>
      <w:r w:rsidR="00F75361" w:rsidRPr="004A51F8">
        <w:rPr>
          <w:lang w:val="fr-FR"/>
        </w:rPr>
        <w:t xml:space="preserve"> </w:t>
      </w:r>
      <w:r w:rsidR="00F75361">
        <w:rPr>
          <w:lang w:val="fr-FR"/>
        </w:rPr>
        <w:t>aux</w:t>
      </w:r>
      <w:r w:rsidR="00B44EFD" w:rsidRPr="004A51F8">
        <w:rPr>
          <w:lang w:val="fr-FR"/>
        </w:rPr>
        <w:t xml:space="preserve"> atermoiements ou </w:t>
      </w:r>
      <w:r w:rsidR="00F75361">
        <w:rPr>
          <w:lang w:val="fr-FR"/>
        </w:rPr>
        <w:t xml:space="preserve">à </w:t>
      </w:r>
      <w:r w:rsidR="00B44EFD" w:rsidRPr="004A51F8">
        <w:rPr>
          <w:lang w:val="fr-FR"/>
        </w:rPr>
        <w:t>la négligence du parquet ou des juridictions nationales</w:t>
      </w:r>
      <w:r w:rsidR="00EA0A70">
        <w:rPr>
          <w:lang w:val="fr-FR"/>
        </w:rPr>
        <w:t>.</w:t>
      </w:r>
    </w:p>
    <w:p w:rsidR="0032468C" w:rsidRDefault="00006A35" w:rsidP="00B44EFD">
      <w:pPr>
        <w:pStyle w:val="ECHRPara"/>
        <w:rPr>
          <w:lang w:val="fr-FR"/>
        </w:rPr>
      </w:pPr>
      <w:r>
        <w:rPr>
          <w:lang w:val="fr-FR"/>
        </w:rPr>
        <w:t>En effet, s</w:t>
      </w:r>
      <w:r w:rsidR="000C665A">
        <w:rPr>
          <w:lang w:val="fr-FR"/>
        </w:rPr>
        <w:t>i, à première vue,</w:t>
      </w:r>
      <w:r w:rsidR="00EA0A70">
        <w:rPr>
          <w:lang w:val="fr-FR"/>
        </w:rPr>
        <w:t xml:space="preserve"> le requérant </w:t>
      </w:r>
      <w:r w:rsidR="00F75361">
        <w:rPr>
          <w:lang w:val="fr-FR"/>
        </w:rPr>
        <w:t>sem</w:t>
      </w:r>
      <w:r w:rsidR="00EA0A70">
        <w:rPr>
          <w:lang w:val="fr-FR"/>
        </w:rPr>
        <w:t>ble</w:t>
      </w:r>
      <w:r w:rsidR="000C665A">
        <w:rPr>
          <w:lang w:val="fr-FR"/>
        </w:rPr>
        <w:t xml:space="preserve"> attribuer la prescription des délits à la durée excessive de la procédure, il n</w:t>
      </w:r>
      <w:r w:rsidR="00603708">
        <w:rPr>
          <w:lang w:val="fr-FR"/>
        </w:rPr>
        <w:t>’</w:t>
      </w:r>
      <w:r w:rsidR="000C665A">
        <w:rPr>
          <w:lang w:val="fr-FR"/>
        </w:rPr>
        <w:t xml:space="preserve">a </w:t>
      </w:r>
      <w:r w:rsidR="0052600B">
        <w:rPr>
          <w:lang w:val="fr-FR"/>
        </w:rPr>
        <w:t xml:space="preserve">aucunement </w:t>
      </w:r>
      <w:r w:rsidR="0015148A">
        <w:rPr>
          <w:lang w:val="fr-FR"/>
        </w:rPr>
        <w:t xml:space="preserve">étayé </w:t>
      </w:r>
      <w:r w:rsidR="000C665A">
        <w:rPr>
          <w:lang w:val="fr-FR"/>
        </w:rPr>
        <w:t>cette allégation</w:t>
      </w:r>
      <w:r w:rsidR="00DD3524">
        <w:rPr>
          <w:lang w:val="fr-FR"/>
        </w:rPr>
        <w:t xml:space="preserve"> par une description, fût-elle </w:t>
      </w:r>
      <w:r>
        <w:rPr>
          <w:lang w:val="fr-FR"/>
        </w:rPr>
        <w:t>sommaire,</w:t>
      </w:r>
      <w:r w:rsidR="000C665A">
        <w:rPr>
          <w:lang w:val="fr-FR"/>
        </w:rPr>
        <w:t xml:space="preserve"> </w:t>
      </w:r>
      <w:r w:rsidR="00DD3524">
        <w:rPr>
          <w:lang w:val="fr-FR"/>
        </w:rPr>
        <w:t xml:space="preserve">du </w:t>
      </w:r>
      <w:r>
        <w:rPr>
          <w:lang w:val="fr-FR"/>
        </w:rPr>
        <w:t xml:space="preserve">déroulement de </w:t>
      </w:r>
      <w:r w:rsidR="00DD3524">
        <w:rPr>
          <w:lang w:val="fr-FR"/>
        </w:rPr>
        <w:t>la procédure</w:t>
      </w:r>
      <w:r>
        <w:rPr>
          <w:lang w:val="fr-FR"/>
        </w:rPr>
        <w:t xml:space="preserve"> et </w:t>
      </w:r>
      <w:r w:rsidR="00DD3524">
        <w:rPr>
          <w:lang w:val="fr-FR"/>
        </w:rPr>
        <w:t>d</w:t>
      </w:r>
      <w:r w:rsidR="000C665A">
        <w:rPr>
          <w:lang w:val="fr-FR"/>
        </w:rPr>
        <w:t xml:space="preserve">e retards </w:t>
      </w:r>
      <w:r w:rsidR="00DD3524">
        <w:rPr>
          <w:lang w:val="fr-FR"/>
        </w:rPr>
        <w:t xml:space="preserve">qui auraient été </w:t>
      </w:r>
      <w:r w:rsidR="000C665A">
        <w:rPr>
          <w:lang w:val="fr-FR"/>
        </w:rPr>
        <w:t>injustifiés au cours de l</w:t>
      </w:r>
      <w:r w:rsidR="00603708">
        <w:rPr>
          <w:lang w:val="fr-FR"/>
        </w:rPr>
        <w:t>’</w:t>
      </w:r>
      <w:r w:rsidR="000C665A">
        <w:rPr>
          <w:lang w:val="fr-FR"/>
        </w:rPr>
        <w:t>enquête ou des débats.</w:t>
      </w:r>
      <w:r w:rsidR="00B12FBE">
        <w:rPr>
          <w:lang w:val="fr-FR"/>
        </w:rPr>
        <w:t xml:space="preserve"> </w:t>
      </w:r>
      <w:r w:rsidR="00691803">
        <w:rPr>
          <w:lang w:val="fr-FR"/>
        </w:rPr>
        <w:t xml:space="preserve">Aucun retard ne ressort </w:t>
      </w:r>
      <w:r w:rsidR="00D76F72">
        <w:rPr>
          <w:lang w:val="fr-FR"/>
        </w:rPr>
        <w:t xml:space="preserve">non plus </w:t>
      </w:r>
      <w:r w:rsidR="00691803">
        <w:rPr>
          <w:lang w:val="fr-FR"/>
        </w:rPr>
        <w:t>du dossier.</w:t>
      </w:r>
    </w:p>
    <w:p w:rsidR="0032468C" w:rsidRDefault="00D76F72" w:rsidP="00B44EFD">
      <w:pPr>
        <w:pStyle w:val="ECHRPara"/>
        <w:rPr>
          <w:lang w:val="fr-FR"/>
        </w:rPr>
      </w:pPr>
      <w:r>
        <w:rPr>
          <w:lang w:val="fr-FR"/>
        </w:rPr>
        <w:t xml:space="preserve">Bien </w:t>
      </w:r>
      <w:r w:rsidR="00B12FBE">
        <w:rPr>
          <w:lang w:val="fr-FR"/>
        </w:rPr>
        <w:t>qu</w:t>
      </w:r>
      <w:r w:rsidR="00603708">
        <w:rPr>
          <w:lang w:val="fr-FR"/>
        </w:rPr>
        <w:t>’</w:t>
      </w:r>
      <w:r w:rsidR="00B12FBE">
        <w:rPr>
          <w:lang w:val="fr-FR"/>
        </w:rPr>
        <w:t xml:space="preserve">il </w:t>
      </w:r>
      <w:r w:rsidR="00006A35">
        <w:rPr>
          <w:lang w:val="fr-FR"/>
        </w:rPr>
        <w:t>a</w:t>
      </w:r>
      <w:r>
        <w:rPr>
          <w:lang w:val="fr-FR"/>
        </w:rPr>
        <w:t>it</w:t>
      </w:r>
      <w:r w:rsidR="00006A35">
        <w:rPr>
          <w:lang w:val="fr-FR"/>
        </w:rPr>
        <w:t xml:space="preserve"> fallu</w:t>
      </w:r>
      <w:r w:rsidR="00B12FBE">
        <w:rPr>
          <w:lang w:val="fr-FR"/>
        </w:rPr>
        <w:t xml:space="preserve"> plus de dix ans après les év</w:t>
      </w:r>
      <w:r w:rsidR="00650C81">
        <w:rPr>
          <w:lang w:val="fr-FR"/>
        </w:rPr>
        <w:t>é</w:t>
      </w:r>
      <w:r w:rsidR="00B12FBE">
        <w:rPr>
          <w:lang w:val="fr-FR"/>
        </w:rPr>
        <w:t>nements de l</w:t>
      </w:r>
      <w:r w:rsidR="00603708">
        <w:rPr>
          <w:lang w:val="fr-FR"/>
        </w:rPr>
        <w:t>’</w:t>
      </w:r>
      <w:r w:rsidR="00B12FBE">
        <w:rPr>
          <w:lang w:val="fr-FR"/>
        </w:rPr>
        <w:t xml:space="preserve">école Diaz-Pertini pour </w:t>
      </w:r>
      <w:r w:rsidR="0052600B">
        <w:rPr>
          <w:lang w:val="fr-FR"/>
        </w:rPr>
        <w:t>qu</w:t>
      </w:r>
      <w:r w:rsidR="00603708">
        <w:rPr>
          <w:lang w:val="fr-FR"/>
        </w:rPr>
        <w:t>’</w:t>
      </w:r>
      <w:r w:rsidR="00B12FBE">
        <w:rPr>
          <w:lang w:val="fr-FR"/>
        </w:rPr>
        <w:t>une décision définitive</w:t>
      </w:r>
      <w:r w:rsidR="0015148A">
        <w:rPr>
          <w:lang w:val="fr-FR"/>
        </w:rPr>
        <w:t xml:space="preserve"> soit rendue</w:t>
      </w:r>
      <w:r w:rsidR="00B12FBE">
        <w:rPr>
          <w:lang w:val="fr-FR"/>
        </w:rPr>
        <w:t xml:space="preserve">, </w:t>
      </w:r>
      <w:r>
        <w:rPr>
          <w:lang w:val="fr-FR"/>
        </w:rPr>
        <w:t>la Cour ne saurait ignorer</w:t>
      </w:r>
      <w:r w:rsidR="00B12FBE">
        <w:rPr>
          <w:lang w:val="fr-FR"/>
        </w:rPr>
        <w:t xml:space="preserve"> que le p</w:t>
      </w:r>
      <w:r w:rsidR="00610C76">
        <w:rPr>
          <w:lang w:val="fr-FR"/>
        </w:rPr>
        <w:t xml:space="preserve">arquet a dû faire face à des obstacles non négligeables </w:t>
      </w:r>
      <w:r w:rsidR="0015148A">
        <w:rPr>
          <w:lang w:val="fr-FR"/>
        </w:rPr>
        <w:t xml:space="preserve">au cours </w:t>
      </w:r>
      <w:r w:rsidR="00610C76">
        <w:rPr>
          <w:lang w:val="fr-FR"/>
        </w:rPr>
        <w:t>de l</w:t>
      </w:r>
      <w:r w:rsidR="00603708">
        <w:rPr>
          <w:lang w:val="fr-FR"/>
        </w:rPr>
        <w:t>’</w:t>
      </w:r>
      <w:r w:rsidR="00610C76">
        <w:rPr>
          <w:lang w:val="fr-FR"/>
        </w:rPr>
        <w:t xml:space="preserve">enquête </w:t>
      </w:r>
      <w:r w:rsidR="00610C76" w:rsidRPr="00D76F72">
        <w:rPr>
          <w:lang w:val="fr-FR"/>
        </w:rPr>
        <w:t>(</w:t>
      </w:r>
      <w:r w:rsidR="00F91053" w:rsidRPr="00AC0DAF">
        <w:rPr>
          <w:lang w:val="fr-FR"/>
        </w:rPr>
        <w:t>paragraphes 44, 45</w:t>
      </w:r>
      <w:r w:rsidR="00610C76" w:rsidRPr="00AC0DAF">
        <w:rPr>
          <w:lang w:val="fr-FR"/>
        </w:rPr>
        <w:t xml:space="preserve"> et</w:t>
      </w:r>
      <w:r w:rsidR="00F91053" w:rsidRPr="00AC0DAF">
        <w:rPr>
          <w:lang w:val="fr-FR"/>
        </w:rPr>
        <w:t xml:space="preserve"> 52 ci-dessus</w:t>
      </w:r>
      <w:r w:rsidR="00F91053" w:rsidRPr="00D76F72">
        <w:rPr>
          <w:lang w:val="fr-FR"/>
        </w:rPr>
        <w:t>)</w:t>
      </w:r>
      <w:r w:rsidR="00F91053">
        <w:rPr>
          <w:lang w:val="fr-FR"/>
        </w:rPr>
        <w:t xml:space="preserve"> et</w:t>
      </w:r>
      <w:r w:rsidR="00610C76">
        <w:rPr>
          <w:lang w:val="fr-FR"/>
        </w:rPr>
        <w:t xml:space="preserve"> que </w:t>
      </w:r>
      <w:r w:rsidR="00B12FBE">
        <w:rPr>
          <w:lang w:val="fr-FR"/>
        </w:rPr>
        <w:t xml:space="preserve">les juridictions </w:t>
      </w:r>
      <w:r w:rsidR="0001083B">
        <w:rPr>
          <w:lang w:val="fr-FR"/>
        </w:rPr>
        <w:t>de jugement</w:t>
      </w:r>
      <w:r w:rsidR="00B12FBE">
        <w:rPr>
          <w:lang w:val="fr-FR"/>
        </w:rPr>
        <w:t xml:space="preserve"> </w:t>
      </w:r>
      <w:r w:rsidR="00C16ADE">
        <w:rPr>
          <w:lang w:val="fr-FR"/>
        </w:rPr>
        <w:t xml:space="preserve">ont </w:t>
      </w:r>
      <w:r w:rsidR="00B12FBE" w:rsidRPr="004A51F8">
        <w:rPr>
          <w:lang w:val="fr-FR"/>
        </w:rPr>
        <w:t xml:space="preserve">dû diligenter une </w:t>
      </w:r>
      <w:r w:rsidR="00610C76">
        <w:rPr>
          <w:lang w:val="fr-FR"/>
        </w:rPr>
        <w:t xml:space="preserve">procédure pénale très complexe, </w:t>
      </w:r>
      <w:r w:rsidR="00B12FBE" w:rsidRPr="004A51F8">
        <w:rPr>
          <w:lang w:val="fr-FR"/>
        </w:rPr>
        <w:t>à l</w:t>
      </w:r>
      <w:r w:rsidR="00603708">
        <w:rPr>
          <w:lang w:val="fr-FR"/>
        </w:rPr>
        <w:t>’</w:t>
      </w:r>
      <w:r w:rsidR="00B12FBE" w:rsidRPr="004A51F8">
        <w:rPr>
          <w:lang w:val="fr-FR"/>
        </w:rPr>
        <w:t>égard de dizaines d</w:t>
      </w:r>
      <w:r w:rsidR="00603708">
        <w:rPr>
          <w:lang w:val="fr-FR"/>
        </w:rPr>
        <w:t>’</w:t>
      </w:r>
      <w:r w:rsidR="00B12FBE" w:rsidRPr="004A51F8">
        <w:rPr>
          <w:lang w:val="fr-FR"/>
        </w:rPr>
        <w:t>accusés et d</w:t>
      </w:r>
      <w:r w:rsidR="00603708">
        <w:rPr>
          <w:lang w:val="fr-FR"/>
        </w:rPr>
        <w:t>’</w:t>
      </w:r>
      <w:r w:rsidR="00B12FBE" w:rsidRPr="004A51F8">
        <w:rPr>
          <w:lang w:val="fr-FR"/>
        </w:rPr>
        <w:t>une centaine de parties civiles</w:t>
      </w:r>
      <w:r w:rsidR="00F91053">
        <w:rPr>
          <w:lang w:val="fr-FR"/>
        </w:rPr>
        <w:t xml:space="preserve"> italiennes et étrangères</w:t>
      </w:r>
      <w:r w:rsidR="00471C6B">
        <w:rPr>
          <w:lang w:val="fr-FR"/>
        </w:rPr>
        <w:t xml:space="preserve"> (</w:t>
      </w:r>
      <w:r w:rsidR="00471C6B" w:rsidRPr="00AC0DAF">
        <w:rPr>
          <w:lang w:val="fr-FR"/>
        </w:rPr>
        <w:t>paragraphes 46-47 ci-dessus</w:t>
      </w:r>
      <w:r w:rsidR="00471C6B">
        <w:rPr>
          <w:lang w:val="fr-FR"/>
        </w:rPr>
        <w:t>)</w:t>
      </w:r>
      <w:r w:rsidR="00610C76">
        <w:rPr>
          <w:lang w:val="fr-FR"/>
        </w:rPr>
        <w:t xml:space="preserve">, </w:t>
      </w:r>
      <w:r w:rsidR="00691803">
        <w:rPr>
          <w:lang w:val="fr-FR"/>
        </w:rPr>
        <w:t>afin</w:t>
      </w:r>
      <w:r w:rsidR="00610C76">
        <w:rPr>
          <w:lang w:val="fr-FR"/>
        </w:rPr>
        <w:t xml:space="preserve"> d</w:t>
      </w:r>
      <w:r w:rsidR="00603708">
        <w:rPr>
          <w:lang w:val="fr-FR"/>
        </w:rPr>
        <w:t>’</w:t>
      </w:r>
      <w:r w:rsidR="00610C76">
        <w:rPr>
          <w:lang w:val="fr-FR"/>
        </w:rPr>
        <w:t>établir,</w:t>
      </w:r>
      <w:r w:rsidR="00C16ADE">
        <w:rPr>
          <w:lang w:val="fr-FR"/>
        </w:rPr>
        <w:t xml:space="preserve"> dans le respect </w:t>
      </w:r>
      <w:r w:rsidR="00610C76">
        <w:rPr>
          <w:lang w:val="fr-FR"/>
        </w:rPr>
        <w:t>des garanties du procès équitable</w:t>
      </w:r>
      <w:r w:rsidR="00C16ADE">
        <w:rPr>
          <w:lang w:val="fr-FR"/>
        </w:rPr>
        <w:t xml:space="preserve">, les </w:t>
      </w:r>
      <w:r w:rsidR="00F75361">
        <w:rPr>
          <w:lang w:val="fr-FR"/>
        </w:rPr>
        <w:t>responsabilités individuelles d</w:t>
      </w:r>
      <w:r w:rsidR="00603708">
        <w:rPr>
          <w:lang w:val="fr-FR"/>
        </w:rPr>
        <w:t>’</w:t>
      </w:r>
      <w:r w:rsidR="00F75361">
        <w:rPr>
          <w:lang w:val="fr-FR"/>
        </w:rPr>
        <w:t>un</w:t>
      </w:r>
      <w:r w:rsidR="00C16ADE" w:rsidRPr="004A51F8">
        <w:rPr>
          <w:lang w:val="fr-FR"/>
        </w:rPr>
        <w:t xml:space="preserve"> épisode de violence policière </w:t>
      </w:r>
      <w:r w:rsidR="00F75361">
        <w:rPr>
          <w:lang w:val="fr-FR"/>
        </w:rPr>
        <w:t xml:space="preserve">que le Gouvernement défendeur </w:t>
      </w:r>
      <w:r w:rsidR="0072662A">
        <w:rPr>
          <w:lang w:val="fr-FR"/>
        </w:rPr>
        <w:t xml:space="preserve">a </w:t>
      </w:r>
      <w:r>
        <w:rPr>
          <w:lang w:val="fr-FR"/>
        </w:rPr>
        <w:t xml:space="preserve">lui-même </w:t>
      </w:r>
      <w:r w:rsidR="00F75361">
        <w:rPr>
          <w:lang w:val="fr-FR"/>
        </w:rPr>
        <w:t>qualifi</w:t>
      </w:r>
      <w:r w:rsidR="0052600B">
        <w:rPr>
          <w:lang w:val="fr-FR"/>
        </w:rPr>
        <w:t>é</w:t>
      </w:r>
      <w:r w:rsidR="00F75361">
        <w:rPr>
          <w:lang w:val="fr-FR"/>
        </w:rPr>
        <w:t xml:space="preserve"> d</w:t>
      </w:r>
      <w:r w:rsidR="00603708">
        <w:rPr>
          <w:lang w:val="fr-FR"/>
        </w:rPr>
        <w:t>’</w:t>
      </w:r>
      <w:r w:rsidR="00F75361">
        <w:rPr>
          <w:lang w:val="fr-FR"/>
        </w:rPr>
        <w:t>exceptionnel</w:t>
      </w:r>
      <w:r w:rsidR="00C16ADE">
        <w:rPr>
          <w:lang w:val="fr-FR"/>
        </w:rPr>
        <w:t>.</w:t>
      </w:r>
    </w:p>
    <w:p w:rsidR="0032468C" w:rsidRDefault="00C16ADE" w:rsidP="00B44EFD">
      <w:pPr>
        <w:pStyle w:val="ECHRPara"/>
        <w:rPr>
          <w:rFonts w:ascii="Times New Roman" w:eastAsia="Times New Roman" w:hAnsi="Times New Roman" w:cs="Times New Roman"/>
          <w:szCs w:val="24"/>
          <w:lang w:val="fr-FR"/>
        </w:rPr>
      </w:pPr>
      <w:r>
        <w:rPr>
          <w:lang w:val="fr-FR"/>
        </w:rPr>
        <w:fldChar w:fldCharType="begin"/>
      </w:r>
      <w:r w:rsidRPr="0001083B">
        <w:rPr>
          <w:lang w:val="fr-FR"/>
        </w:rPr>
        <w:instrText xml:space="preserve"> SEQ level0 \*arabic </w:instrText>
      </w:r>
      <w:r>
        <w:rPr>
          <w:lang w:val="fr-FR"/>
        </w:rPr>
        <w:fldChar w:fldCharType="separate"/>
      </w:r>
      <w:r w:rsidR="00B378F9">
        <w:rPr>
          <w:noProof/>
          <w:lang w:val="fr-FR"/>
        </w:rPr>
        <w:t>224</w:t>
      </w:r>
      <w:r>
        <w:rPr>
          <w:lang w:val="fr-FR"/>
        </w:rPr>
        <w:fldChar w:fldCharType="end"/>
      </w:r>
      <w:r w:rsidRPr="0001083B">
        <w:rPr>
          <w:lang w:val="fr-FR"/>
        </w:rPr>
        <w:t>. </w:t>
      </w:r>
      <w:r w:rsidR="0052600B">
        <w:rPr>
          <w:lang w:val="fr-FR"/>
        </w:rPr>
        <w:t> </w:t>
      </w:r>
      <w:r w:rsidR="00426AFF">
        <w:rPr>
          <w:lang w:val="fr-FR"/>
        </w:rPr>
        <w:t>L</w:t>
      </w:r>
      <w:r w:rsidR="0001083B" w:rsidRPr="00E34824">
        <w:rPr>
          <w:rFonts w:ascii="Times New Roman" w:eastAsia="Times New Roman" w:hAnsi="Times New Roman" w:cs="Times New Roman"/>
          <w:lang w:val="fr-FR"/>
        </w:rPr>
        <w:t xml:space="preserve">a Cour </w:t>
      </w:r>
      <w:r w:rsidR="00426AFF">
        <w:rPr>
          <w:rFonts w:ascii="Times New Roman" w:eastAsia="Times New Roman" w:hAnsi="Times New Roman" w:cs="Times New Roman"/>
          <w:lang w:val="fr-FR"/>
        </w:rPr>
        <w:t>ne saurait reprocher non plus aux juridictions internes de ne</w:t>
      </w:r>
      <w:r w:rsidR="0001083B" w:rsidRPr="00E34824">
        <w:rPr>
          <w:rFonts w:ascii="Times New Roman" w:eastAsia="Times New Roman" w:hAnsi="Times New Roman" w:cs="Times New Roman"/>
          <w:lang w:val="fr-FR"/>
        </w:rPr>
        <w:t xml:space="preserve"> pas</w:t>
      </w:r>
      <w:r w:rsidR="00426AFF">
        <w:rPr>
          <w:rFonts w:ascii="Times New Roman" w:eastAsia="Times New Roman" w:hAnsi="Times New Roman" w:cs="Times New Roman"/>
          <w:lang w:val="fr-FR"/>
        </w:rPr>
        <w:t xml:space="preserve"> avoir</w:t>
      </w:r>
      <w:r w:rsidR="0001083B" w:rsidRPr="00E34824">
        <w:rPr>
          <w:rFonts w:ascii="Times New Roman" w:eastAsia="Times New Roman" w:hAnsi="Times New Roman" w:cs="Times New Roman"/>
          <w:lang w:val="fr-FR"/>
        </w:rPr>
        <w:t xml:space="preserve"> mesuré la gravité des faits reprochés aux accusés</w:t>
      </w:r>
      <w:r w:rsidR="0052600B">
        <w:rPr>
          <w:lang w:val="fr-FR"/>
        </w:rPr>
        <w:t xml:space="preserve"> </w:t>
      </w:r>
      <w:r w:rsidR="0001083B">
        <w:rPr>
          <w:lang w:val="fr-FR"/>
        </w:rPr>
        <w:t>(</w:t>
      </w:r>
      <w:r w:rsidR="0001083B" w:rsidRPr="00AC0DAF">
        <w:rPr>
          <w:rFonts w:ascii="Times New Roman" w:eastAsia="Times New Roman" w:hAnsi="Times New Roman" w:cs="Times New Roman"/>
          <w:i/>
          <w:szCs w:val="24"/>
          <w:lang w:val="fr-FR"/>
        </w:rPr>
        <w:t>Saba</w:t>
      </w:r>
      <w:r w:rsidR="0001083B" w:rsidRPr="00AC0DAF">
        <w:rPr>
          <w:rFonts w:ascii="Times New Roman" w:eastAsia="Times New Roman" w:hAnsi="Times New Roman" w:cs="Times New Roman"/>
          <w:szCs w:val="24"/>
          <w:lang w:val="fr-FR"/>
        </w:rPr>
        <w:t>, précité, §§ 79-80</w:t>
      </w:r>
      <w:r w:rsidR="0052600B">
        <w:rPr>
          <w:rFonts w:ascii="Times New Roman" w:eastAsia="Times New Roman" w:hAnsi="Times New Roman" w:cs="Times New Roman"/>
          <w:szCs w:val="24"/>
          <w:lang w:val="fr-FR"/>
        </w:rPr>
        <w:t> </w:t>
      </w:r>
      <w:r w:rsidR="0052600B">
        <w:rPr>
          <w:lang w:val="fr-FR"/>
        </w:rPr>
        <w:t>;</w:t>
      </w:r>
      <w:r w:rsidR="00426AFF" w:rsidRPr="00AC0DAF">
        <w:rPr>
          <w:lang w:val="fr-FR"/>
        </w:rPr>
        <w:t xml:space="preserve"> voir aussi, </w:t>
      </w:r>
      <w:r w:rsidR="00426AFF" w:rsidRPr="00AC0DAF">
        <w:rPr>
          <w:i/>
          <w:lang w:val="fr-FR"/>
        </w:rPr>
        <w:t>mutatis mutandis</w:t>
      </w:r>
      <w:r w:rsidR="00426AFF" w:rsidRPr="00AC0DAF">
        <w:rPr>
          <w:lang w:val="fr-FR"/>
        </w:rPr>
        <w:t>,</w:t>
      </w:r>
      <w:r w:rsidR="00426AFF" w:rsidRPr="00AC0DAF">
        <w:rPr>
          <w:i/>
          <w:lang w:val="fr-FR"/>
        </w:rPr>
        <w:t xml:space="preserve"> Gäfgen</w:t>
      </w:r>
      <w:r w:rsidR="00426AFF" w:rsidRPr="00AC0DAF">
        <w:rPr>
          <w:lang w:val="fr-FR"/>
        </w:rPr>
        <w:t>,</w:t>
      </w:r>
      <w:r w:rsidR="0052600B">
        <w:rPr>
          <w:i/>
          <w:lang w:val="fr-FR"/>
        </w:rPr>
        <w:t xml:space="preserve"> </w:t>
      </w:r>
      <w:r w:rsidR="00426AFF" w:rsidRPr="00AC0DAF">
        <w:rPr>
          <w:lang w:val="fr-FR"/>
        </w:rPr>
        <w:t>précité, § 124</w:t>
      </w:r>
      <w:r w:rsidR="00426AFF">
        <w:rPr>
          <w:lang w:val="fr-FR"/>
        </w:rPr>
        <w:t>)</w:t>
      </w:r>
      <w:r w:rsidR="00426AFF">
        <w:rPr>
          <w:rFonts w:ascii="Times New Roman" w:eastAsia="Times New Roman" w:hAnsi="Times New Roman" w:cs="Times New Roman"/>
          <w:szCs w:val="24"/>
          <w:lang w:val="fr-FR"/>
        </w:rPr>
        <w:t xml:space="preserve"> ou</w:t>
      </w:r>
      <w:r w:rsidR="00691803">
        <w:rPr>
          <w:rFonts w:ascii="Times New Roman" w:eastAsia="Times New Roman" w:hAnsi="Times New Roman" w:cs="Times New Roman"/>
          <w:szCs w:val="24"/>
          <w:lang w:val="fr-FR"/>
        </w:rPr>
        <w:t>, pire,</w:t>
      </w:r>
      <w:r w:rsidR="00426AFF">
        <w:rPr>
          <w:rFonts w:ascii="Times New Roman" w:eastAsia="Times New Roman" w:hAnsi="Times New Roman" w:cs="Times New Roman"/>
          <w:szCs w:val="24"/>
          <w:lang w:val="fr-FR"/>
        </w:rPr>
        <w:t xml:space="preserve"> d</w:t>
      </w:r>
      <w:r w:rsidR="00603708">
        <w:rPr>
          <w:rFonts w:ascii="Times New Roman" w:eastAsia="Times New Roman" w:hAnsi="Times New Roman" w:cs="Times New Roman"/>
          <w:szCs w:val="24"/>
          <w:lang w:val="fr-FR"/>
        </w:rPr>
        <w:t>’</w:t>
      </w:r>
      <w:r w:rsidR="00426AFF">
        <w:rPr>
          <w:rFonts w:ascii="Times New Roman" w:eastAsia="Times New Roman" w:hAnsi="Times New Roman" w:cs="Times New Roman"/>
          <w:szCs w:val="24"/>
          <w:lang w:val="fr-FR"/>
        </w:rPr>
        <w:t xml:space="preserve">avoir utilisé </w:t>
      </w:r>
      <w:r w:rsidR="00426AFF" w:rsidRPr="00E34824">
        <w:rPr>
          <w:rFonts w:ascii="Times New Roman" w:eastAsia="Times New Roman" w:hAnsi="Times New Roman" w:cs="Times New Roman"/>
          <w:i/>
          <w:lang w:val="fr-FR"/>
        </w:rPr>
        <w:t>de facto</w:t>
      </w:r>
      <w:r w:rsidR="00426AFF" w:rsidRPr="00E34824">
        <w:rPr>
          <w:rFonts w:ascii="Times New Roman" w:eastAsia="Times New Roman" w:hAnsi="Times New Roman" w:cs="Times New Roman"/>
          <w:lang w:val="fr-FR"/>
        </w:rPr>
        <w:t xml:space="preserve"> les dispositions législatives et répressives du droit national </w:t>
      </w:r>
      <w:r w:rsidR="00426AFF">
        <w:rPr>
          <w:rFonts w:ascii="Times New Roman" w:eastAsia="Times New Roman" w:hAnsi="Times New Roman" w:cs="Times New Roman"/>
          <w:lang w:val="fr-FR"/>
        </w:rPr>
        <w:t xml:space="preserve">pour éviter </w:t>
      </w:r>
      <w:r w:rsidR="00426AFF" w:rsidRPr="00E34824">
        <w:rPr>
          <w:rFonts w:ascii="Times New Roman" w:eastAsia="Times New Roman" w:hAnsi="Times New Roman" w:cs="Times New Roman"/>
          <w:lang w:val="fr-FR"/>
        </w:rPr>
        <w:t>toute condamnation effective des policiers poursuivis</w:t>
      </w:r>
      <w:r w:rsidR="0052600B">
        <w:rPr>
          <w:rFonts w:ascii="Times New Roman" w:eastAsia="Times New Roman" w:hAnsi="Times New Roman" w:cs="Times New Roman"/>
          <w:lang w:val="fr-FR"/>
        </w:rPr>
        <w:t xml:space="preserve"> </w:t>
      </w:r>
      <w:r w:rsidR="00426AFF">
        <w:rPr>
          <w:rFonts w:ascii="Times New Roman" w:eastAsia="Times New Roman" w:hAnsi="Times New Roman" w:cs="Times New Roman"/>
          <w:lang w:val="fr-FR"/>
        </w:rPr>
        <w:t>(</w:t>
      </w:r>
      <w:r w:rsidR="00426AFF" w:rsidRPr="00AC0DAF">
        <w:rPr>
          <w:rFonts w:ascii="Times New Roman" w:eastAsia="Times New Roman" w:hAnsi="Times New Roman" w:cs="Times New Roman"/>
          <w:i/>
          <w:szCs w:val="24"/>
          <w:lang w:val="fr-FR"/>
        </w:rPr>
        <w:t>Zeynep Özcan</w:t>
      </w:r>
      <w:r w:rsidR="00426AFF" w:rsidRPr="00AC0DAF">
        <w:rPr>
          <w:rFonts w:ascii="Times New Roman" w:eastAsia="Times New Roman" w:hAnsi="Times New Roman" w:cs="Times New Roman"/>
          <w:szCs w:val="24"/>
          <w:lang w:val="fr-FR"/>
        </w:rPr>
        <w:t xml:space="preserve">, </w:t>
      </w:r>
      <w:r w:rsidR="00E978EB" w:rsidRPr="00AC0DAF">
        <w:rPr>
          <w:rFonts w:ascii="Times New Roman" w:eastAsia="Times New Roman" w:hAnsi="Times New Roman" w:cs="Times New Roman"/>
          <w:szCs w:val="24"/>
          <w:lang w:val="fr-FR"/>
        </w:rPr>
        <w:t>précité</w:t>
      </w:r>
      <w:r w:rsidR="00426AFF" w:rsidRPr="00AC0DAF">
        <w:rPr>
          <w:rFonts w:ascii="Times New Roman" w:eastAsia="Times New Roman" w:hAnsi="Times New Roman" w:cs="Times New Roman"/>
          <w:szCs w:val="24"/>
          <w:lang w:val="fr-FR"/>
        </w:rPr>
        <w:t>, § 43).</w:t>
      </w:r>
    </w:p>
    <w:p w:rsidR="0032468C" w:rsidRDefault="00426AFF" w:rsidP="00B44EFD">
      <w:pPr>
        <w:pStyle w:val="ECHRPara"/>
        <w:rPr>
          <w:lang w:val="fr-FR"/>
        </w:rPr>
      </w:pPr>
      <w:r w:rsidRPr="008E00A0">
        <w:rPr>
          <w:lang w:val="fr-FR"/>
        </w:rPr>
        <w:t>Les arrêts d</w:t>
      </w:r>
      <w:r w:rsidR="00603708">
        <w:rPr>
          <w:lang w:val="fr-FR"/>
        </w:rPr>
        <w:t>’</w:t>
      </w:r>
      <w:r w:rsidRPr="008E00A0">
        <w:rPr>
          <w:lang w:val="fr-FR"/>
        </w:rPr>
        <w:t>appel et de cassation, en particulier, font preuve d</w:t>
      </w:r>
      <w:r w:rsidR="00603708">
        <w:rPr>
          <w:lang w:val="fr-FR"/>
        </w:rPr>
        <w:t>’</w:t>
      </w:r>
      <w:r w:rsidRPr="008E00A0">
        <w:rPr>
          <w:lang w:val="fr-FR"/>
        </w:rPr>
        <w:t>une</w:t>
      </w:r>
      <w:r w:rsidRPr="004A51F8">
        <w:rPr>
          <w:lang w:val="fr-FR"/>
        </w:rPr>
        <w:t xml:space="preserve"> </w:t>
      </w:r>
      <w:r w:rsidRPr="003E5D81">
        <w:rPr>
          <w:lang w:val="fr-FR"/>
        </w:rPr>
        <w:t xml:space="preserve">fermeté exemplaire et ne </w:t>
      </w:r>
      <w:r w:rsidR="003E5D81" w:rsidRPr="003E5D81">
        <w:rPr>
          <w:lang w:val="fr-FR"/>
        </w:rPr>
        <w:t>trouvent aucune justification</w:t>
      </w:r>
      <w:r w:rsidRPr="003E5D81">
        <w:rPr>
          <w:lang w:val="fr-FR"/>
        </w:rPr>
        <w:t xml:space="preserve"> aux graves</w:t>
      </w:r>
      <w:r w:rsidRPr="004A51F8">
        <w:rPr>
          <w:lang w:val="fr-FR"/>
        </w:rPr>
        <w:t xml:space="preserve"> événements </w:t>
      </w:r>
      <w:r>
        <w:rPr>
          <w:lang w:val="fr-FR"/>
        </w:rPr>
        <w:t>de l</w:t>
      </w:r>
      <w:r w:rsidR="00603708">
        <w:rPr>
          <w:lang w:val="fr-FR"/>
        </w:rPr>
        <w:t>’</w:t>
      </w:r>
      <w:r>
        <w:rPr>
          <w:lang w:val="fr-FR"/>
        </w:rPr>
        <w:t>école Diaz-Pertini</w:t>
      </w:r>
      <w:r w:rsidR="00953804">
        <w:rPr>
          <w:lang w:val="fr-FR"/>
        </w:rPr>
        <w:t>.</w:t>
      </w:r>
    </w:p>
    <w:p w:rsidR="0032468C" w:rsidRDefault="00953804" w:rsidP="00B44EFD">
      <w:pPr>
        <w:pStyle w:val="ECHRPara"/>
        <w:rPr>
          <w:lang w:val="fr-FR"/>
        </w:rPr>
      </w:pPr>
      <w:r>
        <w:rPr>
          <w:lang w:val="fr-FR"/>
        </w:rPr>
        <w:t xml:space="preserve">Dans ce </w:t>
      </w:r>
      <w:r w:rsidR="009711C6">
        <w:rPr>
          <w:lang w:val="fr-FR"/>
        </w:rPr>
        <w:t>contexte</w:t>
      </w:r>
      <w:r>
        <w:rPr>
          <w:lang w:val="fr-FR"/>
        </w:rPr>
        <w:t>, les raisons qui ont</w:t>
      </w:r>
      <w:r w:rsidR="006D1B79">
        <w:rPr>
          <w:lang w:val="fr-FR"/>
        </w:rPr>
        <w:t xml:space="preserve"> </w:t>
      </w:r>
      <w:r>
        <w:rPr>
          <w:lang w:val="fr-FR"/>
        </w:rPr>
        <w:t xml:space="preserve">amené </w:t>
      </w:r>
      <w:r w:rsidR="00D76F72">
        <w:rPr>
          <w:lang w:val="fr-FR"/>
        </w:rPr>
        <w:t xml:space="preserve">la cour </w:t>
      </w:r>
      <w:r>
        <w:rPr>
          <w:lang w:val="fr-FR"/>
        </w:rPr>
        <w:t>d</w:t>
      </w:r>
      <w:r w:rsidR="00603708">
        <w:rPr>
          <w:lang w:val="fr-FR"/>
        </w:rPr>
        <w:t>’</w:t>
      </w:r>
      <w:r>
        <w:rPr>
          <w:lang w:val="fr-FR"/>
        </w:rPr>
        <w:t>appel à déterminer les peines</w:t>
      </w:r>
      <w:r w:rsidR="006D1B79" w:rsidRPr="00730D47">
        <w:rPr>
          <w:lang w:val="fr-FR"/>
        </w:rPr>
        <w:t xml:space="preserve"> </w:t>
      </w:r>
      <w:r>
        <w:rPr>
          <w:lang w:val="fr-FR"/>
        </w:rPr>
        <w:t xml:space="preserve">sur la base du </w:t>
      </w:r>
      <w:r w:rsidR="006D1B79" w:rsidRPr="00730D47">
        <w:rPr>
          <w:lang w:val="fr-FR"/>
        </w:rPr>
        <w:t>minimum prévu par la loi pour chacun des délits en question</w:t>
      </w:r>
      <w:r>
        <w:rPr>
          <w:lang w:val="fr-FR"/>
        </w:rPr>
        <w:t xml:space="preserve"> (à savoir </w:t>
      </w:r>
      <w:r w:rsidR="009711C6">
        <w:rPr>
          <w:lang w:val="fr-FR"/>
        </w:rPr>
        <w:t xml:space="preserve">le fait </w:t>
      </w:r>
      <w:r>
        <w:rPr>
          <w:lang w:val="fr-FR"/>
        </w:rPr>
        <w:t xml:space="preserve">que </w:t>
      </w:r>
      <w:r w:rsidR="006D1B79" w:rsidRPr="00730D47">
        <w:rPr>
          <w:lang w:val="fr-FR"/>
        </w:rPr>
        <w:t>toute l</w:t>
      </w:r>
      <w:r w:rsidR="00603708">
        <w:rPr>
          <w:lang w:val="fr-FR"/>
        </w:rPr>
        <w:t>’</w:t>
      </w:r>
      <w:r w:rsidR="006D1B79" w:rsidRPr="00730D47">
        <w:rPr>
          <w:lang w:val="fr-FR"/>
        </w:rPr>
        <w:t xml:space="preserve">opération avait pour origine la </w:t>
      </w:r>
      <w:r w:rsidR="006D1B79" w:rsidRPr="003E5D81">
        <w:rPr>
          <w:lang w:val="fr-FR"/>
        </w:rPr>
        <w:t xml:space="preserve">directive du chef de la police de procéder à des arrestations et </w:t>
      </w:r>
      <w:r w:rsidRPr="003E5D81">
        <w:rPr>
          <w:lang w:val="fr-FR"/>
        </w:rPr>
        <w:t xml:space="preserve">que </w:t>
      </w:r>
      <w:r w:rsidR="006D1B79" w:rsidRPr="003E5D81">
        <w:rPr>
          <w:lang w:val="fr-FR"/>
        </w:rPr>
        <w:t>les acc</w:t>
      </w:r>
      <w:r w:rsidRPr="003E5D81">
        <w:rPr>
          <w:lang w:val="fr-FR"/>
        </w:rPr>
        <w:t>usés avaient dès lors</w:t>
      </w:r>
      <w:r w:rsidR="006D1B79" w:rsidRPr="003E5D81">
        <w:rPr>
          <w:lang w:val="fr-FR"/>
        </w:rPr>
        <w:t xml:space="preserve"> agi sous cette pression psychologique</w:t>
      </w:r>
      <w:r w:rsidR="0052600B" w:rsidRPr="003E5D81">
        <w:rPr>
          <w:lang w:val="fr-FR"/>
        </w:rPr>
        <w:t xml:space="preserve"> –</w:t>
      </w:r>
      <w:r w:rsidR="00F75361" w:rsidRPr="003E5D81">
        <w:rPr>
          <w:lang w:val="fr-FR"/>
        </w:rPr>
        <w:t xml:space="preserve"> </w:t>
      </w:r>
      <w:r w:rsidR="00471C6B" w:rsidRPr="003E5D81">
        <w:rPr>
          <w:lang w:val="fr-FR"/>
        </w:rPr>
        <w:t>paragraphe 74</w:t>
      </w:r>
      <w:r w:rsidR="00F75361" w:rsidRPr="003E5D81">
        <w:rPr>
          <w:lang w:val="fr-FR"/>
        </w:rPr>
        <w:t xml:space="preserve"> ci-dessus</w:t>
      </w:r>
      <w:r w:rsidRPr="003E5D81">
        <w:rPr>
          <w:lang w:val="fr-FR"/>
        </w:rPr>
        <w:t>) ne semblent pas com</w:t>
      </w:r>
      <w:r w:rsidR="00FC56A6" w:rsidRPr="003E5D81">
        <w:rPr>
          <w:lang w:val="fr-FR"/>
        </w:rPr>
        <w:t xml:space="preserve">parables à celles que la Cour a </w:t>
      </w:r>
      <w:r w:rsidR="003E5D81" w:rsidRPr="003E5D81">
        <w:rPr>
          <w:lang w:val="fr-FR"/>
        </w:rPr>
        <w:t>dénoncées</w:t>
      </w:r>
      <w:r w:rsidRPr="003E5D81">
        <w:rPr>
          <w:lang w:val="fr-FR"/>
        </w:rPr>
        <w:t xml:space="preserve"> dans d</w:t>
      </w:r>
      <w:r w:rsidR="00603708">
        <w:rPr>
          <w:lang w:val="fr-FR"/>
        </w:rPr>
        <w:t>’</w:t>
      </w:r>
      <w:r w:rsidRPr="003E5D81">
        <w:rPr>
          <w:lang w:val="fr-FR"/>
        </w:rPr>
        <w:t>autres affaires (</w:t>
      </w:r>
      <w:r w:rsidR="00E978EB" w:rsidRPr="003E5D81">
        <w:rPr>
          <w:lang w:val="fr-FR"/>
        </w:rPr>
        <w:t xml:space="preserve">voir, par exemple, </w:t>
      </w:r>
      <w:r w:rsidR="00426AFF" w:rsidRPr="003E5D81">
        <w:rPr>
          <w:rFonts w:ascii="Times New Roman" w:eastAsia="Times New Roman" w:hAnsi="Times New Roman" w:cs="Times New Roman"/>
          <w:i/>
          <w:lang w:val="fr-FR"/>
        </w:rPr>
        <w:t>Ali et Ayşe</w:t>
      </w:r>
      <w:r w:rsidR="00426AFF" w:rsidRPr="003E5D81">
        <w:rPr>
          <w:rFonts w:ascii="Times New Roman" w:eastAsia="Times New Roman" w:hAnsi="Times New Roman" w:cs="Times New Roman"/>
          <w:lang w:val="fr-FR"/>
        </w:rPr>
        <w:t xml:space="preserve"> </w:t>
      </w:r>
      <w:r w:rsidR="00426AFF" w:rsidRPr="003E5D81">
        <w:rPr>
          <w:rFonts w:ascii="Times New Roman" w:eastAsia="Times New Roman" w:hAnsi="Times New Roman" w:cs="Times New Roman"/>
          <w:i/>
          <w:lang w:val="fr-FR"/>
        </w:rPr>
        <w:t>Duran</w:t>
      </w:r>
      <w:r w:rsidR="00E978EB" w:rsidRPr="003E5D81">
        <w:rPr>
          <w:rFonts w:ascii="Times New Roman" w:eastAsia="Times New Roman" w:hAnsi="Times New Roman" w:cs="Times New Roman"/>
          <w:lang w:val="fr-FR"/>
        </w:rPr>
        <w:t xml:space="preserve">, précité, § 68, </w:t>
      </w:r>
      <w:r w:rsidR="00E978EB" w:rsidRPr="003E5D81">
        <w:rPr>
          <w:lang w:val="fr-FR"/>
        </w:rPr>
        <w:t>où les auteurs d</w:t>
      </w:r>
      <w:r w:rsidR="00603708">
        <w:rPr>
          <w:lang w:val="fr-FR"/>
        </w:rPr>
        <w:t>’</w:t>
      </w:r>
      <w:r w:rsidR="00E978EB" w:rsidRPr="003E5D81">
        <w:rPr>
          <w:lang w:val="fr-FR"/>
        </w:rPr>
        <w:t>actes contraires à l</w:t>
      </w:r>
      <w:r w:rsidR="00603708">
        <w:rPr>
          <w:lang w:val="fr-FR"/>
        </w:rPr>
        <w:t>’</w:t>
      </w:r>
      <w:r w:rsidR="00E978EB" w:rsidRPr="003E5D81">
        <w:rPr>
          <w:lang w:val="fr-FR"/>
        </w:rPr>
        <w:t xml:space="preserve">article 3 </w:t>
      </w:r>
      <w:r w:rsidR="0052600B" w:rsidRPr="003E5D81">
        <w:rPr>
          <w:lang w:val="fr-FR"/>
        </w:rPr>
        <w:t xml:space="preserve">de la Convention </w:t>
      </w:r>
      <w:r w:rsidR="00E978EB" w:rsidRPr="003E5D81">
        <w:rPr>
          <w:lang w:val="fr-FR"/>
        </w:rPr>
        <w:t>avaient</w:t>
      </w:r>
      <w:r w:rsidR="00E978EB">
        <w:rPr>
          <w:lang w:val="fr-FR"/>
        </w:rPr>
        <w:t xml:space="preserve"> bénéficié d</w:t>
      </w:r>
      <w:r w:rsidR="00603708">
        <w:rPr>
          <w:lang w:val="fr-FR"/>
        </w:rPr>
        <w:t>’</w:t>
      </w:r>
      <w:r w:rsidR="00E978EB">
        <w:rPr>
          <w:lang w:val="fr-FR"/>
        </w:rPr>
        <w:t>une réduction de peine en raison de</w:t>
      </w:r>
      <w:r w:rsidR="004316C9">
        <w:rPr>
          <w:lang w:val="fr-FR"/>
        </w:rPr>
        <w:t xml:space="preserve"> leur prétendue collaboration au cours de l</w:t>
      </w:r>
      <w:r w:rsidR="00603708">
        <w:rPr>
          <w:lang w:val="fr-FR"/>
        </w:rPr>
        <w:t>’</w:t>
      </w:r>
      <w:r w:rsidR="004316C9">
        <w:rPr>
          <w:lang w:val="fr-FR"/>
        </w:rPr>
        <w:t>enquête et des débats, alors qu</w:t>
      </w:r>
      <w:r w:rsidR="00603708">
        <w:rPr>
          <w:lang w:val="fr-FR"/>
        </w:rPr>
        <w:t>’</w:t>
      </w:r>
      <w:r w:rsidR="004316C9">
        <w:rPr>
          <w:lang w:val="fr-FR"/>
        </w:rPr>
        <w:t xml:space="preserve">en réalité ils </w:t>
      </w:r>
      <w:r w:rsidR="00A66FAA">
        <w:rPr>
          <w:lang w:val="fr-FR"/>
        </w:rPr>
        <w:t>s</w:t>
      </w:r>
      <w:r w:rsidR="00603708">
        <w:rPr>
          <w:lang w:val="fr-FR"/>
        </w:rPr>
        <w:t>’</w:t>
      </w:r>
      <w:r w:rsidR="00A66FAA">
        <w:rPr>
          <w:lang w:val="fr-FR"/>
        </w:rPr>
        <w:t xml:space="preserve">étaient </w:t>
      </w:r>
      <w:r w:rsidR="004316C9">
        <w:rPr>
          <w:lang w:val="fr-FR"/>
        </w:rPr>
        <w:t xml:space="preserve">toujours </w:t>
      </w:r>
      <w:r w:rsidR="0052600B">
        <w:rPr>
          <w:lang w:val="fr-FR"/>
        </w:rPr>
        <w:t>bornés</w:t>
      </w:r>
      <w:r w:rsidR="00A66FAA">
        <w:rPr>
          <w:lang w:val="fr-FR"/>
        </w:rPr>
        <w:t xml:space="preserve"> à réfuter</w:t>
      </w:r>
      <w:r w:rsidR="004316C9">
        <w:rPr>
          <w:lang w:val="fr-FR"/>
        </w:rPr>
        <w:t xml:space="preserve"> toute accusation ;</w:t>
      </w:r>
      <w:r w:rsidR="00E978EB">
        <w:rPr>
          <w:rFonts w:ascii="Times New Roman" w:eastAsia="Times New Roman" w:hAnsi="Times New Roman" w:cs="Times New Roman"/>
          <w:lang w:val="fr-FR"/>
        </w:rPr>
        <w:t xml:space="preserve"> </w:t>
      </w:r>
      <w:r w:rsidR="0052600B">
        <w:rPr>
          <w:rFonts w:ascii="Times New Roman" w:eastAsia="Times New Roman" w:hAnsi="Times New Roman" w:cs="Times New Roman"/>
          <w:lang w:val="fr-FR"/>
        </w:rPr>
        <w:t xml:space="preserve">voir aussi </w:t>
      </w:r>
      <w:r w:rsidR="00E978EB" w:rsidRPr="00AC0DAF">
        <w:rPr>
          <w:rFonts w:ascii="Times New Roman" w:eastAsia="Times New Roman" w:hAnsi="Times New Roman" w:cs="Times New Roman"/>
          <w:i/>
          <w:szCs w:val="24"/>
          <w:lang w:val="fr-FR"/>
        </w:rPr>
        <w:t>Zeynep Özcan</w:t>
      </w:r>
      <w:r w:rsidR="00E978EB" w:rsidRPr="00AC0DAF">
        <w:rPr>
          <w:rFonts w:ascii="Times New Roman" w:eastAsia="Times New Roman" w:hAnsi="Times New Roman" w:cs="Times New Roman"/>
          <w:szCs w:val="24"/>
          <w:lang w:val="fr-FR"/>
        </w:rPr>
        <w:t>,</w:t>
      </w:r>
      <w:r w:rsidR="00E978EB" w:rsidRPr="00E978EB">
        <w:rPr>
          <w:lang w:val="fr-FR"/>
        </w:rPr>
        <w:t xml:space="preserve"> </w:t>
      </w:r>
      <w:r w:rsidR="009711C6">
        <w:rPr>
          <w:lang w:val="fr-FR"/>
        </w:rPr>
        <w:t xml:space="preserve">précité, </w:t>
      </w:r>
      <w:r w:rsidR="0052600B" w:rsidRPr="00AC0DAF">
        <w:rPr>
          <w:rFonts w:ascii="Times New Roman" w:eastAsia="Times New Roman" w:hAnsi="Times New Roman" w:cs="Times New Roman"/>
          <w:szCs w:val="24"/>
          <w:lang w:val="fr-FR"/>
        </w:rPr>
        <w:t>§ 43</w:t>
      </w:r>
      <w:r w:rsidR="00E978EB">
        <w:rPr>
          <w:lang w:val="fr-FR"/>
        </w:rPr>
        <w:t xml:space="preserve">, où les juridictions de jugement avaient reconnu </w:t>
      </w:r>
      <w:r w:rsidR="009711C6">
        <w:rPr>
          <w:lang w:val="fr-FR"/>
        </w:rPr>
        <w:t>aux accusés d</w:t>
      </w:r>
      <w:r w:rsidR="00E978EB">
        <w:rPr>
          <w:lang w:val="fr-FR"/>
        </w:rPr>
        <w:t xml:space="preserve">es </w:t>
      </w:r>
      <w:r w:rsidR="00E978EB" w:rsidRPr="00E978EB">
        <w:rPr>
          <w:lang w:val="fr-FR"/>
        </w:rPr>
        <w:t xml:space="preserve">circonstances atténuantes </w:t>
      </w:r>
      <w:r w:rsidR="00E978EB">
        <w:rPr>
          <w:lang w:val="fr-FR"/>
        </w:rPr>
        <w:t>compte tenu d</w:t>
      </w:r>
      <w:r w:rsidR="009711C6">
        <w:rPr>
          <w:lang w:val="fr-FR"/>
        </w:rPr>
        <w:t>e leur</w:t>
      </w:r>
      <w:r w:rsidR="00E978EB">
        <w:rPr>
          <w:lang w:val="fr-FR"/>
        </w:rPr>
        <w:t xml:space="preserve"> </w:t>
      </w:r>
      <w:r w:rsidR="00E978EB" w:rsidRPr="00E978EB">
        <w:rPr>
          <w:lang w:val="fr-FR"/>
        </w:rPr>
        <w:t>comportement au procès alors qu</w:t>
      </w:r>
      <w:r w:rsidR="00603708">
        <w:rPr>
          <w:lang w:val="fr-FR"/>
        </w:rPr>
        <w:t>’</w:t>
      </w:r>
      <w:r w:rsidR="0052600B">
        <w:rPr>
          <w:lang w:val="fr-FR"/>
        </w:rPr>
        <w:t>en réalité les intéressés</w:t>
      </w:r>
      <w:r w:rsidR="00E978EB" w:rsidRPr="00E978EB">
        <w:rPr>
          <w:lang w:val="fr-FR"/>
        </w:rPr>
        <w:t xml:space="preserve"> n</w:t>
      </w:r>
      <w:r w:rsidR="00603708">
        <w:rPr>
          <w:lang w:val="fr-FR"/>
        </w:rPr>
        <w:t>’</w:t>
      </w:r>
      <w:r w:rsidR="00E978EB">
        <w:rPr>
          <w:lang w:val="fr-FR"/>
        </w:rPr>
        <w:t>avaient</w:t>
      </w:r>
      <w:r w:rsidR="00E978EB" w:rsidRPr="00E978EB">
        <w:rPr>
          <w:lang w:val="fr-FR"/>
        </w:rPr>
        <w:t xml:space="preserve"> jamais assisté aux audiences</w:t>
      </w:r>
      <w:r w:rsidR="004316C9">
        <w:rPr>
          <w:lang w:val="fr-FR"/>
        </w:rPr>
        <w:t>).</w:t>
      </w:r>
    </w:p>
    <w:p w:rsidR="00471C6B" w:rsidRDefault="00A66FAA" w:rsidP="00A66FAA">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225</w:t>
      </w:r>
      <w:r>
        <w:rPr>
          <w:lang w:val="fr-FR"/>
        </w:rPr>
        <w:fldChar w:fldCharType="end"/>
      </w:r>
      <w:r>
        <w:rPr>
          <w:lang w:val="fr-FR"/>
        </w:rPr>
        <w:t>.  </w:t>
      </w:r>
      <w:r w:rsidR="009711C6">
        <w:rPr>
          <w:lang w:val="fr-FR"/>
        </w:rPr>
        <w:t>L</w:t>
      </w:r>
      <w:r w:rsidR="00194169">
        <w:rPr>
          <w:lang w:val="fr-FR"/>
        </w:rPr>
        <w:t>a Cour</w:t>
      </w:r>
      <w:r w:rsidR="009711C6">
        <w:rPr>
          <w:lang w:val="fr-FR"/>
        </w:rPr>
        <w:t xml:space="preserve"> considère dès lors que</w:t>
      </w:r>
      <w:r w:rsidR="00194169">
        <w:rPr>
          <w:lang w:val="fr-FR"/>
        </w:rPr>
        <w:t xml:space="preserve"> c</w:t>
      </w:r>
      <w:r w:rsidR="00603708">
        <w:rPr>
          <w:lang w:val="fr-FR"/>
        </w:rPr>
        <w:t>’</w:t>
      </w:r>
      <w:r w:rsidR="00194169">
        <w:rPr>
          <w:lang w:val="fr-FR"/>
        </w:rPr>
        <w:t>est</w:t>
      </w:r>
      <w:r w:rsidR="004A51F8" w:rsidRPr="004A51F8">
        <w:rPr>
          <w:lang w:val="fr-FR"/>
        </w:rPr>
        <w:t xml:space="preserve"> la </w:t>
      </w:r>
      <w:r w:rsidR="004A51F8" w:rsidRPr="00A66FAA">
        <w:rPr>
          <w:lang w:val="fr-FR"/>
        </w:rPr>
        <w:t>législation pénale italienne</w:t>
      </w:r>
      <w:r w:rsidR="00353490">
        <w:rPr>
          <w:lang w:val="fr-FR"/>
        </w:rPr>
        <w:t xml:space="preserve"> </w:t>
      </w:r>
      <w:r w:rsidR="00FC56A6">
        <w:rPr>
          <w:lang w:val="fr-FR"/>
        </w:rPr>
        <w:t>appliquée en l</w:t>
      </w:r>
      <w:r w:rsidR="00603708">
        <w:rPr>
          <w:lang w:val="fr-FR"/>
        </w:rPr>
        <w:t>’</w:t>
      </w:r>
      <w:r w:rsidR="00FC56A6">
        <w:rPr>
          <w:lang w:val="fr-FR"/>
        </w:rPr>
        <w:t xml:space="preserve">espèce </w:t>
      </w:r>
      <w:r w:rsidR="00627FE4">
        <w:rPr>
          <w:lang w:val="fr-FR"/>
        </w:rPr>
        <w:t>(</w:t>
      </w:r>
      <w:r w:rsidR="00471C6B" w:rsidRPr="00AC0DAF">
        <w:rPr>
          <w:lang w:val="fr-FR"/>
        </w:rPr>
        <w:t>paragraphes 88</w:t>
      </w:r>
      <w:r w:rsidR="00627FE4" w:rsidRPr="00AC0DAF">
        <w:rPr>
          <w:lang w:val="fr-FR"/>
        </w:rPr>
        <w:t>-102 ci-dessus</w:t>
      </w:r>
      <w:r w:rsidR="009711C6" w:rsidRPr="00DC44FA">
        <w:rPr>
          <w:lang w:val="fr-FR"/>
        </w:rPr>
        <w:t xml:space="preserve">) </w:t>
      </w:r>
      <w:r w:rsidR="00194169" w:rsidRPr="00194169">
        <w:rPr>
          <w:lang w:val="fr-FR"/>
        </w:rPr>
        <w:t>qui</w:t>
      </w:r>
      <w:r w:rsidR="00194169">
        <w:rPr>
          <w:b/>
          <w:lang w:val="fr-FR"/>
        </w:rPr>
        <w:t xml:space="preserve"> </w:t>
      </w:r>
      <w:r w:rsidR="00194169" w:rsidRPr="00194169">
        <w:rPr>
          <w:lang w:val="fr-FR"/>
        </w:rPr>
        <w:t>s</w:t>
      </w:r>
      <w:r w:rsidR="00603708">
        <w:rPr>
          <w:lang w:val="fr-FR"/>
        </w:rPr>
        <w:t>’</w:t>
      </w:r>
      <w:r w:rsidR="00194169" w:rsidRPr="00194169">
        <w:rPr>
          <w:lang w:val="fr-FR"/>
        </w:rPr>
        <w:t xml:space="preserve">est </w:t>
      </w:r>
      <w:r w:rsidR="0052600B">
        <w:rPr>
          <w:lang w:val="fr-FR"/>
        </w:rPr>
        <w:t>révél</w:t>
      </w:r>
      <w:r w:rsidR="0052600B" w:rsidRPr="00194169">
        <w:rPr>
          <w:lang w:val="fr-FR"/>
        </w:rPr>
        <w:t>ée</w:t>
      </w:r>
      <w:r w:rsidR="004A51F8" w:rsidRPr="004A51F8">
        <w:rPr>
          <w:lang w:val="fr-FR"/>
        </w:rPr>
        <w:t xml:space="preserve"> à la fois</w:t>
      </w:r>
      <w:r w:rsidR="004A51F8" w:rsidRPr="00A66FAA">
        <w:rPr>
          <w:lang w:val="fr-FR"/>
        </w:rPr>
        <w:t xml:space="preserve"> inadéquate</w:t>
      </w:r>
      <w:r w:rsidR="004A51F8" w:rsidRPr="004A51F8">
        <w:rPr>
          <w:lang w:val="fr-FR"/>
        </w:rPr>
        <w:t xml:space="preserve"> par rapport à l</w:t>
      </w:r>
      <w:r w:rsidR="00603708">
        <w:rPr>
          <w:lang w:val="fr-FR"/>
        </w:rPr>
        <w:t>’</w:t>
      </w:r>
      <w:r w:rsidR="004A51F8" w:rsidRPr="004A51F8">
        <w:rPr>
          <w:lang w:val="fr-FR"/>
        </w:rPr>
        <w:t xml:space="preserve">exigence de sanction des </w:t>
      </w:r>
      <w:r>
        <w:rPr>
          <w:lang w:val="fr-FR"/>
        </w:rPr>
        <w:t>actes de torture</w:t>
      </w:r>
      <w:r w:rsidR="004A51F8" w:rsidRPr="004A51F8">
        <w:rPr>
          <w:lang w:val="fr-FR"/>
        </w:rPr>
        <w:t xml:space="preserve"> </w:t>
      </w:r>
      <w:r>
        <w:rPr>
          <w:lang w:val="fr-FR"/>
        </w:rPr>
        <w:t>en question</w:t>
      </w:r>
      <w:r w:rsidR="004A51F8" w:rsidRPr="004A51F8">
        <w:rPr>
          <w:lang w:val="fr-FR"/>
        </w:rPr>
        <w:t xml:space="preserve"> et </w:t>
      </w:r>
      <w:r w:rsidR="00E15A7D">
        <w:rPr>
          <w:lang w:val="fr-FR"/>
        </w:rPr>
        <w:t>dépourvue de l</w:t>
      </w:r>
      <w:r w:rsidR="00603708">
        <w:rPr>
          <w:lang w:val="fr-FR"/>
        </w:rPr>
        <w:t>’</w:t>
      </w:r>
      <w:r w:rsidR="004A51F8" w:rsidRPr="00A66FAA">
        <w:rPr>
          <w:lang w:val="fr-FR"/>
        </w:rPr>
        <w:t>effet dissuasif nécessaire</w:t>
      </w:r>
      <w:r w:rsidR="004A51F8" w:rsidRPr="004A51F8">
        <w:rPr>
          <w:lang w:val="fr-FR"/>
        </w:rPr>
        <w:t xml:space="preserve"> pour </w:t>
      </w:r>
      <w:r>
        <w:rPr>
          <w:lang w:val="fr-FR"/>
        </w:rPr>
        <w:t>prévenir d</w:t>
      </w:r>
      <w:r w:rsidR="00603708">
        <w:rPr>
          <w:lang w:val="fr-FR"/>
        </w:rPr>
        <w:t>’</w:t>
      </w:r>
      <w:r>
        <w:rPr>
          <w:lang w:val="fr-FR"/>
        </w:rPr>
        <w:t xml:space="preserve">autres violations </w:t>
      </w:r>
      <w:r w:rsidR="00FC56A6">
        <w:rPr>
          <w:lang w:val="fr-FR"/>
        </w:rPr>
        <w:t xml:space="preserve">similaires </w:t>
      </w:r>
      <w:r>
        <w:rPr>
          <w:lang w:val="fr-FR"/>
        </w:rPr>
        <w:t>de l</w:t>
      </w:r>
      <w:r w:rsidR="00603708">
        <w:rPr>
          <w:lang w:val="fr-FR"/>
        </w:rPr>
        <w:t>’</w:t>
      </w:r>
      <w:r>
        <w:rPr>
          <w:lang w:val="fr-FR"/>
        </w:rPr>
        <w:t>article 3</w:t>
      </w:r>
      <w:r w:rsidR="004A51F8" w:rsidRPr="004A51F8">
        <w:rPr>
          <w:lang w:val="fr-FR"/>
        </w:rPr>
        <w:t xml:space="preserve"> </w:t>
      </w:r>
      <w:r>
        <w:rPr>
          <w:lang w:val="fr-FR"/>
        </w:rPr>
        <w:t>à l</w:t>
      </w:r>
      <w:r w:rsidR="00603708">
        <w:rPr>
          <w:lang w:val="fr-FR"/>
        </w:rPr>
        <w:t>’</w:t>
      </w:r>
      <w:r w:rsidR="004A51F8" w:rsidRPr="004A51F8">
        <w:rPr>
          <w:lang w:val="fr-FR"/>
        </w:rPr>
        <w:t>avenir</w:t>
      </w:r>
      <w:r>
        <w:rPr>
          <w:lang w:val="fr-FR"/>
        </w:rPr>
        <w:t xml:space="preserve"> (</w:t>
      </w:r>
      <w:r w:rsidRPr="00AC0DAF">
        <w:rPr>
          <w:i/>
          <w:lang w:val="fr-FR"/>
        </w:rPr>
        <w:t>Çamdereli</w:t>
      </w:r>
      <w:r w:rsidRPr="00F65398">
        <w:rPr>
          <w:lang w:val="fr-FR"/>
        </w:rPr>
        <w:t xml:space="preserve">, </w:t>
      </w:r>
      <w:r w:rsidRPr="00AC0DAF">
        <w:rPr>
          <w:lang w:val="fr-FR"/>
        </w:rPr>
        <w:t xml:space="preserve">précité, </w:t>
      </w:r>
      <w:r w:rsidR="0052600B" w:rsidRPr="00AC0DAF">
        <w:rPr>
          <w:lang w:val="fr-FR"/>
        </w:rPr>
        <w:t>§</w:t>
      </w:r>
      <w:r w:rsidR="0052600B">
        <w:rPr>
          <w:lang w:val="fr-FR"/>
        </w:rPr>
        <w:t> </w:t>
      </w:r>
      <w:r w:rsidRPr="00AC0DAF">
        <w:rPr>
          <w:lang w:val="fr-FR"/>
        </w:rPr>
        <w:t>38</w:t>
      </w:r>
      <w:r>
        <w:rPr>
          <w:lang w:val="fr-FR"/>
        </w:rPr>
        <w:t>)</w:t>
      </w:r>
      <w:r w:rsidR="004A51F8" w:rsidRPr="004A51F8">
        <w:rPr>
          <w:lang w:val="fr-FR"/>
        </w:rPr>
        <w:t>.</w:t>
      </w:r>
    </w:p>
    <w:p w:rsidR="0032468C" w:rsidRDefault="00471C6B" w:rsidP="00471C6B">
      <w:pPr>
        <w:pStyle w:val="ECHRPara"/>
        <w:rPr>
          <w:rStyle w:val="sb8d990e2"/>
          <w:lang w:val="fr-FR"/>
        </w:rPr>
      </w:pPr>
      <w:r w:rsidRPr="004A51F8">
        <w:rPr>
          <w:lang w:val="fr-FR"/>
        </w:rPr>
        <w:t>Du reste, dans l</w:t>
      </w:r>
      <w:r w:rsidR="00603708">
        <w:rPr>
          <w:lang w:val="fr-FR"/>
        </w:rPr>
        <w:t>’</w:t>
      </w:r>
      <w:r w:rsidRPr="004A51F8">
        <w:rPr>
          <w:lang w:val="fr-FR"/>
        </w:rPr>
        <w:t>a</w:t>
      </w:r>
      <w:r w:rsidR="0052600B">
        <w:rPr>
          <w:lang w:val="fr-FR"/>
        </w:rPr>
        <w:t>rrêt</w:t>
      </w:r>
      <w:r w:rsidRPr="004A51F8">
        <w:rPr>
          <w:lang w:val="fr-FR"/>
        </w:rPr>
        <w:t xml:space="preserve"> </w:t>
      </w:r>
      <w:r w:rsidRPr="004A51F8">
        <w:rPr>
          <w:i/>
          <w:lang w:val="fr-FR"/>
        </w:rPr>
        <w:t>Alikaj et autres c. Italie</w:t>
      </w:r>
      <w:r w:rsidRPr="004A51F8">
        <w:rPr>
          <w:lang w:val="fr-FR"/>
        </w:rPr>
        <w:t xml:space="preserve"> (n</w:t>
      </w:r>
      <w:r w:rsidRPr="004A51F8">
        <w:rPr>
          <w:vertAlign w:val="superscript"/>
          <w:lang w:val="fr-FR"/>
        </w:rPr>
        <w:t>o</w:t>
      </w:r>
      <w:r w:rsidRPr="004A51F8">
        <w:rPr>
          <w:lang w:val="fr-FR"/>
        </w:rPr>
        <w:t xml:space="preserve"> 47357/08</w:t>
      </w:r>
      <w:r w:rsidRPr="00532DB4">
        <w:rPr>
          <w:snapToGrid w:val="0"/>
          <w:szCs w:val="24"/>
          <w:lang w:val="pt-BR"/>
        </w:rPr>
        <w:t xml:space="preserve">, § </w:t>
      </w:r>
      <w:r>
        <w:rPr>
          <w:snapToGrid w:val="0"/>
          <w:szCs w:val="24"/>
          <w:lang w:val="pt-BR"/>
        </w:rPr>
        <w:t>108</w:t>
      </w:r>
      <w:r w:rsidRPr="00532DB4">
        <w:rPr>
          <w:snapToGrid w:val="0"/>
          <w:szCs w:val="24"/>
          <w:lang w:val="pt-BR"/>
        </w:rPr>
        <w:t xml:space="preserve">, </w:t>
      </w:r>
      <w:r w:rsidR="0052600B" w:rsidRPr="00532DB4">
        <w:rPr>
          <w:szCs w:val="24"/>
          <w:lang w:val="pt-BR"/>
        </w:rPr>
        <w:t>29</w:t>
      </w:r>
      <w:r w:rsidR="0052600B">
        <w:rPr>
          <w:szCs w:val="24"/>
          <w:lang w:val="pt-BR"/>
        </w:rPr>
        <w:t> </w:t>
      </w:r>
      <w:r w:rsidRPr="00532DB4">
        <w:rPr>
          <w:snapToGrid w:val="0"/>
          <w:szCs w:val="24"/>
          <w:lang w:val="pt-BR"/>
        </w:rPr>
        <w:t>mars 2011</w:t>
      </w:r>
      <w:r>
        <w:rPr>
          <w:snapToGrid w:val="0"/>
          <w:szCs w:val="24"/>
          <w:lang w:val="pt-BR"/>
        </w:rPr>
        <w:t>)</w:t>
      </w:r>
      <w:r w:rsidR="0052600B">
        <w:rPr>
          <w:snapToGrid w:val="0"/>
          <w:szCs w:val="24"/>
          <w:lang w:val="pt-BR"/>
        </w:rPr>
        <w:t>,</w:t>
      </w:r>
      <w:r>
        <w:rPr>
          <w:snapToGrid w:val="0"/>
          <w:szCs w:val="24"/>
          <w:lang w:val="pt-BR"/>
        </w:rPr>
        <w:t xml:space="preserve"> la Cour, après avoir affirmé que </w:t>
      </w:r>
      <w:r w:rsidRPr="004A51F8">
        <w:rPr>
          <w:snapToGrid w:val="0"/>
          <w:szCs w:val="24"/>
          <w:lang w:val="fr-FR"/>
        </w:rPr>
        <w:t>« </w:t>
      </w:r>
      <w:r w:rsidRPr="004A51F8">
        <w:rPr>
          <w:rStyle w:val="sb8d990e2"/>
          <w:lang w:val="fr-FR"/>
        </w:rPr>
        <w:t>les démarches entreprises par les autorités chargées de l</w:t>
      </w:r>
      <w:r w:rsidR="00603708">
        <w:rPr>
          <w:rStyle w:val="sb8d990e2"/>
          <w:lang w:val="fr-FR"/>
        </w:rPr>
        <w:t>’</w:t>
      </w:r>
      <w:r w:rsidRPr="004A51F8">
        <w:rPr>
          <w:rStyle w:val="sb8d990e2"/>
          <w:lang w:val="fr-FR"/>
        </w:rPr>
        <w:t xml:space="preserve">enquête préliminaire </w:t>
      </w:r>
      <w:r w:rsidR="0052600B">
        <w:rPr>
          <w:rStyle w:val="sb8d990e2"/>
          <w:lang w:val="fr-FR"/>
        </w:rPr>
        <w:t>(</w:t>
      </w:r>
      <w:r w:rsidR="0032468C">
        <w:rPr>
          <w:rStyle w:val="sb8d990e2"/>
          <w:lang w:val="fr-FR"/>
        </w:rPr>
        <w:t>...</w:t>
      </w:r>
      <w:r w:rsidR="0052600B">
        <w:rPr>
          <w:rStyle w:val="sb8d990e2"/>
          <w:lang w:val="fr-FR"/>
        </w:rPr>
        <w:t>)</w:t>
      </w:r>
      <w:r w:rsidRPr="004A51F8">
        <w:rPr>
          <w:rStyle w:val="sb8d990e2"/>
          <w:lang w:val="fr-FR"/>
        </w:rPr>
        <w:t xml:space="preserve"> puis par les juges du fond pendant le procès ne [prêtaient] pas à controverse », </w:t>
      </w:r>
      <w:r w:rsidRPr="004A51F8">
        <w:rPr>
          <w:lang w:val="fr-FR"/>
        </w:rPr>
        <w:t xml:space="preserve">a </w:t>
      </w:r>
      <w:r w:rsidR="00E15A7D">
        <w:rPr>
          <w:lang w:val="fr-FR"/>
        </w:rPr>
        <w:t xml:space="preserve">également </w:t>
      </w:r>
      <w:r w:rsidRPr="004A51F8">
        <w:rPr>
          <w:lang w:val="fr-FR"/>
        </w:rPr>
        <w:t xml:space="preserve">estimé </w:t>
      </w:r>
      <w:r w:rsidRPr="004A51F8">
        <w:rPr>
          <w:rStyle w:val="sb8d990e2"/>
          <w:lang w:val="fr-FR"/>
        </w:rPr>
        <w:t>que « l</w:t>
      </w:r>
      <w:r w:rsidR="00603708">
        <w:rPr>
          <w:rStyle w:val="sb8d990e2"/>
          <w:lang w:val="fr-FR"/>
        </w:rPr>
        <w:t>’</w:t>
      </w:r>
      <w:r w:rsidRPr="004A51F8">
        <w:rPr>
          <w:rStyle w:val="sb8d990e2"/>
          <w:lang w:val="fr-FR"/>
        </w:rPr>
        <w:t>application de la prescription relève sa</w:t>
      </w:r>
      <w:r w:rsidR="00E15A7D">
        <w:rPr>
          <w:rStyle w:val="sb8d990e2"/>
          <w:lang w:val="fr-FR"/>
        </w:rPr>
        <w:t xml:space="preserve">ns conteste de la catégorie de </w:t>
      </w:r>
      <w:r w:rsidR="0052600B">
        <w:rPr>
          <w:rStyle w:val="sb8d990e2"/>
          <w:lang w:val="fr-FR"/>
        </w:rPr>
        <w:t>« </w:t>
      </w:r>
      <w:r w:rsidR="00E15A7D">
        <w:rPr>
          <w:rStyle w:val="sb8d990e2"/>
          <w:lang w:val="fr-FR"/>
        </w:rPr>
        <w:t>mesures</w:t>
      </w:r>
      <w:r w:rsidR="0052600B">
        <w:rPr>
          <w:rStyle w:val="sb8d990e2"/>
          <w:lang w:val="fr-FR"/>
        </w:rPr>
        <w:t> »</w:t>
      </w:r>
      <w:r w:rsidRPr="004A51F8">
        <w:rPr>
          <w:rStyle w:val="sb8d990e2"/>
          <w:lang w:val="fr-FR"/>
        </w:rPr>
        <w:t xml:space="preserve"> inadmissibles selon la jurisprudence de la Cour concernant l</w:t>
      </w:r>
      <w:r w:rsidR="00603708">
        <w:rPr>
          <w:rStyle w:val="sb8d990e2"/>
          <w:lang w:val="fr-FR"/>
        </w:rPr>
        <w:t>’</w:t>
      </w:r>
      <w:r w:rsidRPr="004A51F8">
        <w:rPr>
          <w:rStyle w:val="sb8d990e2"/>
          <w:lang w:val="fr-FR"/>
        </w:rPr>
        <w:t>article 2 de la Convention dans son volet procédural, puisqu</w:t>
      </w:r>
      <w:r w:rsidR="00603708">
        <w:rPr>
          <w:rStyle w:val="sb8d990e2"/>
          <w:lang w:val="fr-FR"/>
        </w:rPr>
        <w:t>’</w:t>
      </w:r>
      <w:r w:rsidRPr="004A51F8">
        <w:rPr>
          <w:rStyle w:val="sb8d990e2"/>
          <w:lang w:val="fr-FR"/>
        </w:rPr>
        <w:t>elle a eu pour effet d</w:t>
      </w:r>
      <w:r w:rsidR="00603708">
        <w:rPr>
          <w:rStyle w:val="sb8d990e2"/>
          <w:lang w:val="fr-FR"/>
        </w:rPr>
        <w:t>’</w:t>
      </w:r>
      <w:r w:rsidRPr="004A51F8">
        <w:rPr>
          <w:rStyle w:val="sb8d990e2"/>
          <w:lang w:val="fr-FR"/>
        </w:rPr>
        <w:t>empêcher une condamnation ».</w:t>
      </w:r>
    </w:p>
    <w:p w:rsidR="0032468C" w:rsidRDefault="00471C6B" w:rsidP="00A66FAA">
      <w:pPr>
        <w:pStyle w:val="ECHRPara"/>
        <w:rPr>
          <w:rFonts w:cstheme="minorHAnsi"/>
          <w:lang w:val="fr-FR"/>
        </w:rPr>
      </w:pPr>
      <w:r>
        <w:rPr>
          <w:rFonts w:cstheme="minorHAnsi"/>
          <w:lang w:val="fr-FR"/>
        </w:rPr>
        <w:fldChar w:fldCharType="begin"/>
      </w:r>
      <w:r>
        <w:rPr>
          <w:rFonts w:cstheme="minorHAnsi"/>
          <w:lang w:val="fr-FR"/>
        </w:rPr>
        <w:instrText xml:space="preserve"> SEQ level0 \*arabic </w:instrText>
      </w:r>
      <w:r>
        <w:rPr>
          <w:rFonts w:cstheme="minorHAnsi"/>
          <w:lang w:val="fr-FR"/>
        </w:rPr>
        <w:fldChar w:fldCharType="separate"/>
      </w:r>
      <w:r w:rsidR="00B378F9">
        <w:rPr>
          <w:rFonts w:cstheme="minorHAnsi"/>
          <w:noProof/>
          <w:lang w:val="fr-FR"/>
        </w:rPr>
        <w:t>226</w:t>
      </w:r>
      <w:r>
        <w:rPr>
          <w:rFonts w:cstheme="minorHAnsi"/>
          <w:lang w:val="fr-FR"/>
        </w:rPr>
        <w:fldChar w:fldCharType="end"/>
      </w:r>
      <w:r>
        <w:rPr>
          <w:rFonts w:cstheme="minorHAnsi"/>
          <w:lang w:val="fr-FR"/>
        </w:rPr>
        <w:t>.  </w:t>
      </w:r>
      <w:r w:rsidR="0052600B">
        <w:rPr>
          <w:rFonts w:cstheme="minorHAnsi"/>
          <w:lang w:val="fr-FR"/>
        </w:rPr>
        <w:t>La Cour devra revenir ultérieurement (</w:t>
      </w:r>
      <w:r w:rsidR="0052600B" w:rsidRPr="00AC0DAF">
        <w:rPr>
          <w:rFonts w:cstheme="minorHAnsi"/>
          <w:lang w:val="fr-FR"/>
        </w:rPr>
        <w:t xml:space="preserve">paragraphes </w:t>
      </w:r>
      <w:r w:rsidR="006818DF">
        <w:rPr>
          <w:rFonts w:cstheme="minorHAnsi"/>
          <w:lang w:val="fr-FR"/>
        </w:rPr>
        <w:t>244 et suivants</w:t>
      </w:r>
      <w:r w:rsidR="0052600B" w:rsidRPr="00AC0DAF">
        <w:rPr>
          <w:rFonts w:cstheme="minorHAnsi"/>
          <w:lang w:val="fr-FR"/>
        </w:rPr>
        <w:t xml:space="preserve"> </w:t>
      </w:r>
      <w:r w:rsidR="006818DF">
        <w:rPr>
          <w:rFonts w:cstheme="minorHAnsi"/>
          <w:lang w:val="fr-FR"/>
        </w:rPr>
        <w:t>ci-dessous</w:t>
      </w:r>
      <w:r w:rsidR="0052600B">
        <w:rPr>
          <w:rFonts w:cstheme="minorHAnsi"/>
          <w:lang w:val="fr-FR"/>
        </w:rPr>
        <w:t>) s</w:t>
      </w:r>
      <w:r>
        <w:rPr>
          <w:rFonts w:cstheme="minorHAnsi"/>
          <w:lang w:val="fr-FR"/>
        </w:rPr>
        <w:t>ur ces</w:t>
      </w:r>
      <w:r w:rsidR="00B16978">
        <w:rPr>
          <w:rFonts w:cstheme="minorHAnsi"/>
          <w:lang w:val="fr-FR"/>
        </w:rPr>
        <w:t xml:space="preserve"> conclusion</w:t>
      </w:r>
      <w:r>
        <w:rPr>
          <w:rFonts w:cstheme="minorHAnsi"/>
          <w:lang w:val="fr-FR"/>
        </w:rPr>
        <w:t>s</w:t>
      </w:r>
      <w:r w:rsidR="00353490">
        <w:rPr>
          <w:rFonts w:cstheme="minorHAnsi"/>
          <w:lang w:val="fr-FR"/>
        </w:rPr>
        <w:t>, qui</w:t>
      </w:r>
      <w:r w:rsidR="00B16978">
        <w:rPr>
          <w:rFonts w:cstheme="minorHAnsi"/>
          <w:lang w:val="fr-FR"/>
        </w:rPr>
        <w:t xml:space="preserve"> </w:t>
      </w:r>
      <w:r>
        <w:rPr>
          <w:rFonts w:cstheme="minorHAnsi"/>
          <w:lang w:val="fr-FR"/>
        </w:rPr>
        <w:t>sont</w:t>
      </w:r>
      <w:r w:rsidR="00353490">
        <w:rPr>
          <w:rFonts w:cstheme="minorHAnsi"/>
          <w:lang w:val="fr-FR"/>
        </w:rPr>
        <w:t xml:space="preserve"> confortée</w:t>
      </w:r>
      <w:r w:rsidR="0068235D">
        <w:rPr>
          <w:rFonts w:cstheme="minorHAnsi"/>
          <w:lang w:val="fr-FR"/>
        </w:rPr>
        <w:t>s</w:t>
      </w:r>
      <w:r w:rsidR="00353490">
        <w:rPr>
          <w:rFonts w:cstheme="minorHAnsi"/>
          <w:lang w:val="fr-FR"/>
        </w:rPr>
        <w:t xml:space="preserve">, notamment, par les observations </w:t>
      </w:r>
      <w:r>
        <w:rPr>
          <w:rFonts w:cstheme="minorHAnsi"/>
          <w:lang w:val="fr-FR"/>
        </w:rPr>
        <w:t>du premier président de la Cour de cassation italienne (</w:t>
      </w:r>
      <w:r w:rsidRPr="00AC0DAF">
        <w:rPr>
          <w:rFonts w:cstheme="minorHAnsi"/>
          <w:lang w:val="fr-FR"/>
        </w:rPr>
        <w:t>paragraphe 105 ci-dessus</w:t>
      </w:r>
      <w:r>
        <w:rPr>
          <w:rFonts w:cstheme="minorHAnsi"/>
          <w:lang w:val="fr-FR"/>
        </w:rPr>
        <w:t xml:space="preserve">) et par celles </w:t>
      </w:r>
      <w:r w:rsidR="00353490">
        <w:rPr>
          <w:rFonts w:cstheme="minorHAnsi"/>
          <w:lang w:val="fr-FR"/>
        </w:rPr>
        <w:t>des tiers intervenants (</w:t>
      </w:r>
      <w:r w:rsidR="00353490" w:rsidRPr="00AC0DAF">
        <w:rPr>
          <w:rFonts w:cstheme="minorHAnsi"/>
          <w:lang w:val="fr-FR"/>
        </w:rPr>
        <w:t xml:space="preserve">paragraphes </w:t>
      </w:r>
      <w:r w:rsidRPr="00AC0DAF">
        <w:rPr>
          <w:rFonts w:cstheme="minorHAnsi"/>
          <w:lang w:val="fr-FR"/>
        </w:rPr>
        <w:t>20</w:t>
      </w:r>
      <w:r w:rsidR="00380E94" w:rsidRPr="00AC0DAF">
        <w:rPr>
          <w:rFonts w:cstheme="minorHAnsi"/>
          <w:lang w:val="fr-FR"/>
        </w:rPr>
        <w:t>0-203</w:t>
      </w:r>
      <w:r w:rsidR="00353490" w:rsidRPr="00AC0DAF">
        <w:rPr>
          <w:rFonts w:cstheme="minorHAnsi"/>
          <w:lang w:val="fr-FR"/>
        </w:rPr>
        <w:t xml:space="preserve"> ci-dessus</w:t>
      </w:r>
      <w:r w:rsidR="00353490">
        <w:rPr>
          <w:rFonts w:cstheme="minorHAnsi"/>
          <w:lang w:val="fr-FR"/>
        </w:rPr>
        <w:t>).</w:t>
      </w:r>
    </w:p>
    <w:p w:rsidR="0032468C" w:rsidRPr="000B5793" w:rsidRDefault="00194169" w:rsidP="000B5793">
      <w:pPr>
        <w:pStyle w:val="ECHRHeading6"/>
        <w:rPr>
          <w:lang w:val="fr-FR"/>
        </w:rPr>
      </w:pPr>
      <w:r w:rsidRPr="000B5793">
        <w:t>γ</w:t>
      </w:r>
      <w:r w:rsidRPr="000B5793">
        <w:rPr>
          <w:lang w:val="fr-FR"/>
        </w:rPr>
        <w:t>) </w:t>
      </w:r>
      <w:r w:rsidR="003A0DA9" w:rsidRPr="000B5793">
        <w:rPr>
          <w:lang w:val="fr-FR"/>
        </w:rPr>
        <w:t> </w:t>
      </w:r>
      <w:r w:rsidR="0016188E" w:rsidRPr="000B5793">
        <w:rPr>
          <w:lang w:val="fr-FR"/>
        </w:rPr>
        <w:t>Doutes sur les mesures disciplinaires</w:t>
      </w:r>
      <w:r w:rsidR="009A7B53" w:rsidRPr="000B5793">
        <w:rPr>
          <w:lang w:val="fr-FR"/>
        </w:rPr>
        <w:t xml:space="preserve"> </w:t>
      </w:r>
      <w:r w:rsidR="00353490" w:rsidRPr="000B5793">
        <w:rPr>
          <w:lang w:val="fr-FR"/>
        </w:rPr>
        <w:t xml:space="preserve">adoptées </w:t>
      </w:r>
      <w:r w:rsidR="009A7B53" w:rsidRPr="000B5793">
        <w:rPr>
          <w:lang w:val="fr-FR"/>
        </w:rPr>
        <w:t>à l</w:t>
      </w:r>
      <w:r w:rsidR="00603708">
        <w:rPr>
          <w:lang w:val="fr-FR"/>
        </w:rPr>
        <w:t>’</w:t>
      </w:r>
      <w:r w:rsidR="009A7B53" w:rsidRPr="000B5793">
        <w:rPr>
          <w:lang w:val="fr-FR"/>
        </w:rPr>
        <w:t>égard des responsables des mauvais traitements en cause</w:t>
      </w:r>
      <w:r w:rsidRPr="000B5793">
        <w:rPr>
          <w:lang w:val="fr-FR"/>
        </w:rPr>
        <w:t>.</w:t>
      </w:r>
    </w:p>
    <w:p w:rsidR="001D1029" w:rsidRDefault="00194169" w:rsidP="00E15A7D">
      <w:pPr>
        <w:pStyle w:val="ECHRPara"/>
        <w:rPr>
          <w:lang w:val="fr-FR"/>
        </w:rPr>
      </w:pPr>
      <w:r>
        <w:fldChar w:fldCharType="begin"/>
      </w:r>
      <w:r w:rsidRPr="00194169">
        <w:rPr>
          <w:lang w:val="fr-FR"/>
        </w:rPr>
        <w:instrText xml:space="preserve"> SEQ level0 \*arabic </w:instrText>
      </w:r>
      <w:r>
        <w:fldChar w:fldCharType="separate"/>
      </w:r>
      <w:r w:rsidR="00B378F9">
        <w:rPr>
          <w:noProof/>
          <w:lang w:val="fr-FR"/>
        </w:rPr>
        <w:t>227</w:t>
      </w:r>
      <w:r>
        <w:fldChar w:fldCharType="end"/>
      </w:r>
      <w:r w:rsidRPr="00194169">
        <w:rPr>
          <w:lang w:val="fr-FR"/>
        </w:rPr>
        <w:t>.  </w:t>
      </w:r>
      <w:r w:rsidR="004A51F8" w:rsidRPr="00194169">
        <w:rPr>
          <w:lang w:val="fr-FR"/>
        </w:rPr>
        <w:t xml:space="preserve">Il ne ressort </w:t>
      </w:r>
      <w:r w:rsidR="00431312">
        <w:rPr>
          <w:lang w:val="fr-FR"/>
        </w:rPr>
        <w:t>pas</w:t>
      </w:r>
      <w:r w:rsidR="00431312" w:rsidRPr="00194169">
        <w:rPr>
          <w:lang w:val="fr-FR"/>
        </w:rPr>
        <w:t xml:space="preserve"> </w:t>
      </w:r>
      <w:r w:rsidR="004A51F8" w:rsidRPr="00194169">
        <w:rPr>
          <w:lang w:val="fr-FR"/>
        </w:rPr>
        <w:t>du dossier que les responsables des actes de torture subis par le requérant et des autres délits liés à ceux-ci ont été suspendus de leur</w:t>
      </w:r>
      <w:r w:rsidR="009D5AE5">
        <w:rPr>
          <w:lang w:val="fr-FR"/>
        </w:rPr>
        <w:t>s</w:t>
      </w:r>
      <w:r w:rsidR="004A51F8" w:rsidRPr="00194169">
        <w:rPr>
          <w:lang w:val="fr-FR"/>
        </w:rPr>
        <w:t xml:space="preserve"> fonctions pendant la procédure pénale. </w:t>
      </w:r>
      <w:r w:rsidR="009A7B53">
        <w:rPr>
          <w:lang w:val="fr-FR"/>
        </w:rPr>
        <w:t xml:space="preserve">La Cour ne dispose </w:t>
      </w:r>
      <w:r w:rsidR="006818DF">
        <w:rPr>
          <w:lang w:val="fr-FR"/>
        </w:rPr>
        <w:t xml:space="preserve">pas </w:t>
      </w:r>
      <w:r w:rsidR="001D1029">
        <w:rPr>
          <w:lang w:val="fr-FR"/>
        </w:rPr>
        <w:t xml:space="preserve">non plus </w:t>
      </w:r>
      <w:r w:rsidR="009A7B53">
        <w:rPr>
          <w:lang w:val="fr-FR"/>
        </w:rPr>
        <w:t>d</w:t>
      </w:r>
      <w:r w:rsidR="00603708">
        <w:rPr>
          <w:lang w:val="fr-FR"/>
        </w:rPr>
        <w:t>’</w:t>
      </w:r>
      <w:r w:rsidR="009A7B53">
        <w:rPr>
          <w:lang w:val="fr-FR"/>
        </w:rPr>
        <w:t>information</w:t>
      </w:r>
      <w:r w:rsidR="00380E94">
        <w:rPr>
          <w:lang w:val="fr-FR"/>
        </w:rPr>
        <w:t>s</w:t>
      </w:r>
      <w:r w:rsidR="009A7B53">
        <w:rPr>
          <w:lang w:val="fr-FR"/>
        </w:rPr>
        <w:t xml:space="preserve"> </w:t>
      </w:r>
      <w:r w:rsidR="00431312">
        <w:rPr>
          <w:lang w:val="fr-FR"/>
        </w:rPr>
        <w:t xml:space="preserve">sur </w:t>
      </w:r>
      <w:r w:rsidR="009A7B53">
        <w:rPr>
          <w:lang w:val="fr-FR"/>
        </w:rPr>
        <w:t>l</w:t>
      </w:r>
      <w:r w:rsidR="00603708">
        <w:rPr>
          <w:lang w:val="fr-FR"/>
        </w:rPr>
        <w:t>’</w:t>
      </w:r>
      <w:r w:rsidR="009A7B53">
        <w:rPr>
          <w:lang w:val="fr-FR"/>
        </w:rPr>
        <w:t xml:space="preserve">évolution de leur carrière </w:t>
      </w:r>
      <w:r w:rsidR="006E44CB">
        <w:rPr>
          <w:lang w:val="fr-FR"/>
        </w:rPr>
        <w:t>au cours de</w:t>
      </w:r>
      <w:r w:rsidR="009A7B53">
        <w:rPr>
          <w:lang w:val="fr-FR"/>
        </w:rPr>
        <w:t xml:space="preserve"> la procédure pénale et</w:t>
      </w:r>
      <w:r w:rsidR="001D1029">
        <w:rPr>
          <w:lang w:val="fr-FR"/>
        </w:rPr>
        <w:t xml:space="preserve"> </w:t>
      </w:r>
      <w:r w:rsidR="006E44CB">
        <w:rPr>
          <w:lang w:val="fr-FR"/>
        </w:rPr>
        <w:t xml:space="preserve">sur </w:t>
      </w:r>
      <w:r w:rsidR="001D1029">
        <w:rPr>
          <w:lang w:val="fr-FR"/>
        </w:rPr>
        <w:t>les démarches entreprises sur le plan disciplinaire</w:t>
      </w:r>
      <w:r w:rsidR="009A7B53">
        <w:rPr>
          <w:lang w:val="fr-FR"/>
        </w:rPr>
        <w:t xml:space="preserve"> après leur condamnation définitive</w:t>
      </w:r>
      <w:r w:rsidR="00877FCE">
        <w:rPr>
          <w:lang w:val="fr-FR"/>
        </w:rPr>
        <w:t xml:space="preserve">, </w:t>
      </w:r>
      <w:r w:rsidR="006E44CB">
        <w:rPr>
          <w:lang w:val="fr-FR"/>
        </w:rPr>
        <w:t xml:space="preserve">informations </w:t>
      </w:r>
      <w:r w:rsidR="00877FCE">
        <w:rPr>
          <w:lang w:val="fr-FR"/>
        </w:rPr>
        <w:t xml:space="preserve">qui </w:t>
      </w:r>
      <w:r w:rsidR="00431312">
        <w:rPr>
          <w:lang w:val="fr-FR"/>
        </w:rPr>
        <w:t xml:space="preserve">sont </w:t>
      </w:r>
      <w:r w:rsidR="00877FCE">
        <w:rPr>
          <w:lang w:val="fr-FR"/>
        </w:rPr>
        <w:t xml:space="preserve">également nécessaires </w:t>
      </w:r>
      <w:r w:rsidR="00BF1F29">
        <w:rPr>
          <w:lang w:val="fr-FR"/>
        </w:rPr>
        <w:t xml:space="preserve">aux fins </w:t>
      </w:r>
      <w:r w:rsidR="006E44CB">
        <w:rPr>
          <w:lang w:val="fr-FR"/>
        </w:rPr>
        <w:t>de l</w:t>
      </w:r>
      <w:r w:rsidR="00603708">
        <w:rPr>
          <w:lang w:val="fr-FR"/>
        </w:rPr>
        <w:t>’</w:t>
      </w:r>
      <w:r w:rsidR="006E44CB">
        <w:rPr>
          <w:lang w:val="fr-FR"/>
        </w:rPr>
        <w:t xml:space="preserve">examen </w:t>
      </w:r>
      <w:r w:rsidR="00BF1F29">
        <w:rPr>
          <w:lang w:val="fr-FR"/>
        </w:rPr>
        <w:t>du respect</w:t>
      </w:r>
      <w:r w:rsidR="008E45BC">
        <w:rPr>
          <w:lang w:val="fr-FR"/>
        </w:rPr>
        <w:t xml:space="preserve"> de</w:t>
      </w:r>
      <w:r w:rsidR="00877FCE">
        <w:rPr>
          <w:lang w:val="fr-FR"/>
        </w:rPr>
        <w:t xml:space="preserve"> l</w:t>
      </w:r>
      <w:r w:rsidR="00603708">
        <w:rPr>
          <w:lang w:val="fr-FR"/>
        </w:rPr>
        <w:t>’</w:t>
      </w:r>
      <w:r w:rsidR="00877FCE">
        <w:rPr>
          <w:lang w:val="fr-FR"/>
        </w:rPr>
        <w:t xml:space="preserve">article 3 </w:t>
      </w:r>
      <w:r w:rsidR="00431312">
        <w:rPr>
          <w:lang w:val="fr-FR"/>
        </w:rPr>
        <w:t xml:space="preserve">de la Convention </w:t>
      </w:r>
      <w:r w:rsidR="00877FCE">
        <w:rPr>
          <w:lang w:val="fr-FR"/>
        </w:rPr>
        <w:t>(</w:t>
      </w:r>
      <w:r w:rsidR="00BF1F29" w:rsidRPr="00AC0DAF">
        <w:rPr>
          <w:lang w:val="fr-FR"/>
        </w:rPr>
        <w:t>paragraphe 21</w:t>
      </w:r>
      <w:r w:rsidR="00380E94" w:rsidRPr="00AC0DAF">
        <w:rPr>
          <w:lang w:val="fr-FR"/>
        </w:rPr>
        <w:t>0</w:t>
      </w:r>
      <w:r w:rsidR="00877FCE" w:rsidRPr="00AC0DAF">
        <w:rPr>
          <w:lang w:val="fr-FR"/>
        </w:rPr>
        <w:t xml:space="preserve"> ci-dessus</w:t>
      </w:r>
      <w:r w:rsidR="00877FCE">
        <w:rPr>
          <w:lang w:val="fr-FR"/>
        </w:rPr>
        <w:t>)</w:t>
      </w:r>
      <w:r w:rsidR="009A7B53">
        <w:rPr>
          <w:lang w:val="fr-FR"/>
        </w:rPr>
        <w:t>.</w:t>
      </w:r>
    </w:p>
    <w:p w:rsidR="0032468C" w:rsidRDefault="001D1029" w:rsidP="00194169">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228</w:t>
      </w:r>
      <w:r>
        <w:rPr>
          <w:lang w:val="fr-FR"/>
        </w:rPr>
        <w:fldChar w:fldCharType="end"/>
      </w:r>
      <w:r>
        <w:rPr>
          <w:lang w:val="fr-FR"/>
        </w:rPr>
        <w:t>. </w:t>
      </w:r>
      <w:r w:rsidR="006818DF">
        <w:rPr>
          <w:lang w:val="fr-FR"/>
        </w:rPr>
        <w:t> </w:t>
      </w:r>
      <w:r w:rsidR="00431312">
        <w:rPr>
          <w:lang w:val="fr-FR"/>
        </w:rPr>
        <w:t>P</w:t>
      </w:r>
      <w:r w:rsidR="00380E94">
        <w:rPr>
          <w:lang w:val="fr-FR"/>
        </w:rPr>
        <w:t xml:space="preserve">ar ailleurs, </w:t>
      </w:r>
      <w:r w:rsidR="00431312">
        <w:rPr>
          <w:lang w:val="fr-FR"/>
        </w:rPr>
        <w:t xml:space="preserve">elle prend </w:t>
      </w:r>
      <w:r w:rsidR="006818DF">
        <w:rPr>
          <w:lang w:val="fr-FR"/>
        </w:rPr>
        <w:t>acte du</w:t>
      </w:r>
      <w:r>
        <w:rPr>
          <w:lang w:val="fr-FR"/>
        </w:rPr>
        <w:t xml:space="preserve"> silence </w:t>
      </w:r>
      <w:r w:rsidR="006818DF">
        <w:rPr>
          <w:lang w:val="fr-FR"/>
        </w:rPr>
        <w:t>du</w:t>
      </w:r>
      <w:r>
        <w:rPr>
          <w:lang w:val="fr-FR"/>
        </w:rPr>
        <w:t xml:space="preserve"> Gouvernement </w:t>
      </w:r>
      <w:r w:rsidR="006818DF">
        <w:rPr>
          <w:lang w:val="fr-FR"/>
        </w:rPr>
        <w:t>à ce</w:t>
      </w:r>
      <w:r w:rsidR="00431312">
        <w:rPr>
          <w:lang w:val="fr-FR"/>
        </w:rPr>
        <w:t>t</w:t>
      </w:r>
      <w:r w:rsidR="006818DF">
        <w:rPr>
          <w:lang w:val="fr-FR"/>
        </w:rPr>
        <w:t xml:space="preserve"> </w:t>
      </w:r>
      <w:r w:rsidR="00431312">
        <w:rPr>
          <w:lang w:val="fr-FR"/>
        </w:rPr>
        <w:t>égard</w:t>
      </w:r>
      <w:r w:rsidR="00603708">
        <w:rPr>
          <w:lang w:val="fr-FR"/>
        </w:rPr>
        <w:t xml:space="preserve"> </w:t>
      </w:r>
      <w:r w:rsidR="006818DF">
        <w:rPr>
          <w:lang w:val="fr-FR"/>
        </w:rPr>
        <w:t>en dépit de la</w:t>
      </w:r>
      <w:r>
        <w:rPr>
          <w:lang w:val="fr-FR"/>
        </w:rPr>
        <w:t xml:space="preserve"> demande de renseignements expressément formulé</w:t>
      </w:r>
      <w:r w:rsidR="00BF1F29">
        <w:rPr>
          <w:lang w:val="fr-FR"/>
        </w:rPr>
        <w:t>e</w:t>
      </w:r>
      <w:r>
        <w:rPr>
          <w:lang w:val="fr-FR"/>
        </w:rPr>
        <w:t xml:space="preserve"> lors de la communication de l</w:t>
      </w:r>
      <w:r w:rsidR="00603708">
        <w:rPr>
          <w:lang w:val="fr-FR"/>
        </w:rPr>
        <w:t>’</w:t>
      </w:r>
      <w:r>
        <w:rPr>
          <w:lang w:val="fr-FR"/>
        </w:rPr>
        <w:t>affaire.</w:t>
      </w:r>
    </w:p>
    <w:p w:rsidR="0032468C" w:rsidRPr="006E0B1E" w:rsidRDefault="001D1029">
      <w:pPr>
        <w:pStyle w:val="ECHRHeading5"/>
        <w:rPr>
          <w:lang w:val="fr-FR"/>
        </w:rPr>
      </w:pPr>
      <w:r w:rsidRPr="006E0B1E">
        <w:rPr>
          <w:lang w:val="fr-FR"/>
        </w:rPr>
        <w:t>iii.</w:t>
      </w:r>
      <w:r w:rsidR="003A0DA9" w:rsidRPr="006E0B1E">
        <w:rPr>
          <w:lang w:val="fr-FR"/>
        </w:rPr>
        <w:t>  </w:t>
      </w:r>
      <w:r w:rsidR="00627FE4" w:rsidRPr="006E0B1E">
        <w:rPr>
          <w:lang w:val="fr-FR"/>
        </w:rPr>
        <w:t>Q</w:t>
      </w:r>
      <w:r w:rsidR="00094C1E" w:rsidRPr="006E0B1E">
        <w:rPr>
          <w:lang w:val="fr-FR"/>
        </w:rPr>
        <w:t xml:space="preserve">ualité de victime et </w:t>
      </w:r>
      <w:r w:rsidRPr="006E0B1E">
        <w:rPr>
          <w:lang w:val="fr-FR"/>
        </w:rPr>
        <w:t>épuisement des voies de recours interne</w:t>
      </w:r>
      <w:r w:rsidR="00475A16" w:rsidRPr="006E0B1E">
        <w:rPr>
          <w:lang w:val="fr-FR"/>
        </w:rPr>
        <w:t>s</w:t>
      </w:r>
      <w:r w:rsidR="00094C1E" w:rsidRPr="006E0B1E">
        <w:rPr>
          <w:lang w:val="fr-FR"/>
        </w:rPr>
        <w:t xml:space="preserve"> (en particulier : action en dommages-intérêts)</w:t>
      </w:r>
    </w:p>
    <w:p w:rsidR="004A51F8" w:rsidRDefault="00F238FD" w:rsidP="00F238FD">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229</w:t>
      </w:r>
      <w:r>
        <w:rPr>
          <w:lang w:val="fr-FR"/>
        </w:rPr>
        <w:fldChar w:fldCharType="end"/>
      </w:r>
      <w:r>
        <w:rPr>
          <w:lang w:val="fr-FR"/>
        </w:rPr>
        <w:t>.  </w:t>
      </w:r>
      <w:r w:rsidRPr="00F238FD">
        <w:rPr>
          <w:lang w:val="fr-FR"/>
        </w:rPr>
        <w:t>Eu égard aux constats qui précèdent, la Cour estime que les différentes mesures prises par les autorités internes n</w:t>
      </w:r>
      <w:r w:rsidR="00603708">
        <w:rPr>
          <w:lang w:val="fr-FR"/>
        </w:rPr>
        <w:t>’</w:t>
      </w:r>
      <w:r w:rsidRPr="00F238FD">
        <w:rPr>
          <w:lang w:val="fr-FR"/>
        </w:rPr>
        <w:t>ont pas pleinement satisfait à la condition d</w:t>
      </w:r>
      <w:r w:rsidR="00603708">
        <w:rPr>
          <w:lang w:val="fr-FR"/>
        </w:rPr>
        <w:t>’</w:t>
      </w:r>
      <w:r w:rsidRPr="00F238FD">
        <w:rPr>
          <w:lang w:val="fr-FR"/>
        </w:rPr>
        <w:t>une enquête approfondie et effective, telle qu</w:t>
      </w:r>
      <w:r w:rsidR="00603708">
        <w:rPr>
          <w:lang w:val="fr-FR"/>
        </w:rPr>
        <w:t>’</w:t>
      </w:r>
      <w:r w:rsidRPr="00F238FD">
        <w:rPr>
          <w:lang w:val="fr-FR"/>
        </w:rPr>
        <w:t xml:space="preserve">établie </w:t>
      </w:r>
      <w:r w:rsidR="00E15A7D">
        <w:rPr>
          <w:lang w:val="fr-FR"/>
        </w:rPr>
        <w:t>par</w:t>
      </w:r>
      <w:r w:rsidRPr="00F238FD">
        <w:rPr>
          <w:lang w:val="fr-FR"/>
        </w:rPr>
        <w:t xml:space="preserve"> sa jurisprudence. </w:t>
      </w:r>
      <w:r w:rsidR="00D943E5">
        <w:rPr>
          <w:lang w:val="fr-FR"/>
        </w:rPr>
        <w:t>Cette circonstance est déterminante aux fins</w:t>
      </w:r>
      <w:r w:rsidRPr="00F238FD">
        <w:rPr>
          <w:lang w:val="fr-FR"/>
        </w:rPr>
        <w:t xml:space="preserve"> </w:t>
      </w:r>
      <w:r w:rsidR="00D943E5">
        <w:rPr>
          <w:lang w:val="fr-FR"/>
        </w:rPr>
        <w:t xml:space="preserve">de </w:t>
      </w:r>
      <w:r w:rsidRPr="00F238FD">
        <w:rPr>
          <w:lang w:val="fr-FR"/>
        </w:rPr>
        <w:t>l</w:t>
      </w:r>
      <w:r w:rsidR="00603708">
        <w:rPr>
          <w:lang w:val="fr-FR"/>
        </w:rPr>
        <w:t>’</w:t>
      </w:r>
      <w:r w:rsidRPr="00F238FD">
        <w:rPr>
          <w:lang w:val="fr-FR"/>
        </w:rPr>
        <w:t xml:space="preserve">exception </w:t>
      </w:r>
      <w:r w:rsidR="00401801">
        <w:rPr>
          <w:lang w:val="fr-FR"/>
        </w:rPr>
        <w:t>que le</w:t>
      </w:r>
      <w:r w:rsidRPr="00F238FD">
        <w:rPr>
          <w:lang w:val="fr-FR"/>
        </w:rPr>
        <w:t xml:space="preserve"> Gouvernement tire de la perte de la qualité de victime</w:t>
      </w:r>
      <w:r w:rsidR="00D943E5">
        <w:rPr>
          <w:lang w:val="fr-FR"/>
        </w:rPr>
        <w:t xml:space="preserve"> du requérant</w:t>
      </w:r>
      <w:r w:rsidR="00812DD1">
        <w:rPr>
          <w:lang w:val="fr-FR"/>
        </w:rPr>
        <w:t xml:space="preserve"> </w:t>
      </w:r>
      <w:r w:rsidR="00A45083">
        <w:rPr>
          <w:lang w:val="fr-FR"/>
        </w:rPr>
        <w:t>au motif</w:t>
      </w:r>
      <w:r w:rsidR="00D943E5">
        <w:rPr>
          <w:lang w:val="fr-FR"/>
        </w:rPr>
        <w:t xml:space="preserve">, en particulier, </w:t>
      </w:r>
      <w:r w:rsidR="0002452A">
        <w:rPr>
          <w:lang w:val="fr-FR"/>
        </w:rPr>
        <w:t xml:space="preserve">que les juridictions ont déjà reconnu la violation </w:t>
      </w:r>
      <w:r w:rsidR="00D943E5">
        <w:rPr>
          <w:lang w:val="fr-FR"/>
        </w:rPr>
        <w:t>en cause</w:t>
      </w:r>
      <w:r w:rsidR="00A45083">
        <w:rPr>
          <w:lang w:val="fr-FR"/>
        </w:rPr>
        <w:t xml:space="preserve"> dans le cadre de la procédure pénale</w:t>
      </w:r>
      <w:r w:rsidR="0002452A">
        <w:rPr>
          <w:lang w:val="fr-FR"/>
        </w:rPr>
        <w:t xml:space="preserve"> et </w:t>
      </w:r>
      <w:r w:rsidR="00A45083">
        <w:rPr>
          <w:lang w:val="fr-FR"/>
        </w:rPr>
        <w:t>qu</w:t>
      </w:r>
      <w:r w:rsidR="00603708">
        <w:rPr>
          <w:lang w:val="fr-FR"/>
        </w:rPr>
        <w:t>’</w:t>
      </w:r>
      <w:r w:rsidR="00A45083">
        <w:rPr>
          <w:lang w:val="fr-FR"/>
        </w:rPr>
        <w:t xml:space="preserve">elles </w:t>
      </w:r>
      <w:r w:rsidR="0002452A">
        <w:rPr>
          <w:lang w:val="fr-FR"/>
        </w:rPr>
        <w:t xml:space="preserve">ont accordé une </w:t>
      </w:r>
      <w:r w:rsidR="007D4DC9">
        <w:rPr>
          <w:lang w:val="fr-FR"/>
        </w:rPr>
        <w:t xml:space="preserve">réparation </w:t>
      </w:r>
      <w:r w:rsidR="00A45083">
        <w:rPr>
          <w:lang w:val="fr-FR"/>
        </w:rPr>
        <w:t>à l</w:t>
      </w:r>
      <w:r w:rsidR="00603708">
        <w:rPr>
          <w:lang w:val="fr-FR"/>
        </w:rPr>
        <w:t>’</w:t>
      </w:r>
      <w:r w:rsidR="00A45083">
        <w:rPr>
          <w:lang w:val="fr-FR"/>
        </w:rPr>
        <w:t xml:space="preserve">intéressé </w:t>
      </w:r>
      <w:r w:rsidRPr="00F238FD">
        <w:rPr>
          <w:lang w:val="fr-FR"/>
        </w:rPr>
        <w:t>(</w:t>
      </w:r>
      <w:r w:rsidRPr="00AC0DAF">
        <w:rPr>
          <w:lang w:val="fr-FR"/>
        </w:rPr>
        <w:t xml:space="preserve">paragraphe </w:t>
      </w:r>
      <w:r w:rsidR="00BF1F29" w:rsidRPr="00AC0DAF">
        <w:rPr>
          <w:lang w:val="fr-FR"/>
        </w:rPr>
        <w:t>131</w:t>
      </w:r>
      <w:r w:rsidRPr="00AC0DAF">
        <w:rPr>
          <w:lang w:val="fr-FR"/>
        </w:rPr>
        <w:t xml:space="preserve"> ci-dessus</w:t>
      </w:r>
      <w:r w:rsidRPr="00F238FD">
        <w:rPr>
          <w:lang w:val="fr-FR"/>
        </w:rPr>
        <w:t>)</w:t>
      </w:r>
      <w:r>
        <w:rPr>
          <w:lang w:val="fr-FR"/>
        </w:rPr>
        <w:t>.</w:t>
      </w:r>
    </w:p>
    <w:p w:rsidR="00F238FD" w:rsidRDefault="00F238FD" w:rsidP="00F238FD">
      <w:pPr>
        <w:pStyle w:val="ECHRPara"/>
        <w:rPr>
          <w:szCs w:val="24"/>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230</w:t>
      </w:r>
      <w:r>
        <w:rPr>
          <w:lang w:val="fr-FR"/>
        </w:rPr>
        <w:fldChar w:fldCharType="end"/>
      </w:r>
      <w:r>
        <w:rPr>
          <w:lang w:val="fr-FR"/>
        </w:rPr>
        <w:t>.  </w:t>
      </w:r>
      <w:r w:rsidR="00094C1E">
        <w:rPr>
          <w:lang w:val="fr-FR"/>
        </w:rPr>
        <w:t>En effet,</w:t>
      </w:r>
      <w:r w:rsidR="00AA1E26">
        <w:rPr>
          <w:lang w:val="fr-FR"/>
        </w:rPr>
        <w:t xml:space="preserve"> </w:t>
      </w:r>
      <w:r w:rsidR="006329B1">
        <w:rPr>
          <w:lang w:val="fr-FR"/>
        </w:rPr>
        <w:t xml:space="preserve">comme </w:t>
      </w:r>
      <w:r w:rsidR="00B61819">
        <w:rPr>
          <w:lang w:val="fr-FR"/>
        </w:rPr>
        <w:t>la</w:t>
      </w:r>
      <w:r w:rsidR="006329B1">
        <w:rPr>
          <w:lang w:val="fr-FR"/>
        </w:rPr>
        <w:t xml:space="preserve"> Grande Chambre </w:t>
      </w:r>
      <w:r w:rsidR="00B61819">
        <w:rPr>
          <w:lang w:val="fr-FR"/>
        </w:rPr>
        <w:t>l</w:t>
      </w:r>
      <w:r w:rsidR="00603708">
        <w:rPr>
          <w:lang w:val="fr-FR"/>
        </w:rPr>
        <w:t>’</w:t>
      </w:r>
      <w:r w:rsidR="00B61819">
        <w:rPr>
          <w:lang w:val="fr-FR"/>
        </w:rPr>
        <w:t xml:space="preserve">a rappelé </w:t>
      </w:r>
      <w:r w:rsidR="006329B1">
        <w:rPr>
          <w:lang w:val="fr-FR"/>
        </w:rPr>
        <w:t xml:space="preserve">dans </w:t>
      </w:r>
      <w:r w:rsidR="007D4DC9">
        <w:rPr>
          <w:lang w:val="fr-FR"/>
        </w:rPr>
        <w:t>l</w:t>
      </w:r>
      <w:r w:rsidR="00603708">
        <w:rPr>
          <w:lang w:val="fr-FR"/>
        </w:rPr>
        <w:t>’</w:t>
      </w:r>
      <w:r w:rsidR="007D4DC9">
        <w:rPr>
          <w:lang w:val="fr-FR"/>
        </w:rPr>
        <w:t xml:space="preserve">arrêt </w:t>
      </w:r>
      <w:r w:rsidR="006329B1" w:rsidRPr="006329B1">
        <w:rPr>
          <w:i/>
          <w:iCs/>
          <w:sz w:val="23"/>
          <w:szCs w:val="23"/>
          <w:lang w:val="fr-FR"/>
        </w:rPr>
        <w:t xml:space="preserve">Gäfgen </w:t>
      </w:r>
      <w:r w:rsidR="00380E94">
        <w:rPr>
          <w:iCs/>
          <w:sz w:val="23"/>
          <w:szCs w:val="23"/>
          <w:lang w:val="fr-FR"/>
        </w:rPr>
        <w:t>(</w:t>
      </w:r>
      <w:r w:rsidR="006329B1" w:rsidRPr="006329B1">
        <w:rPr>
          <w:sz w:val="23"/>
          <w:szCs w:val="23"/>
          <w:lang w:val="fr-FR"/>
        </w:rPr>
        <w:t>précité</w:t>
      </w:r>
      <w:r w:rsidR="006329B1">
        <w:rPr>
          <w:sz w:val="23"/>
          <w:szCs w:val="23"/>
          <w:lang w:val="fr-FR"/>
        </w:rPr>
        <w:t>, § 116</w:t>
      </w:r>
      <w:r w:rsidR="00380E94">
        <w:rPr>
          <w:sz w:val="23"/>
          <w:szCs w:val="23"/>
          <w:lang w:val="fr-FR"/>
        </w:rPr>
        <w:t>)</w:t>
      </w:r>
      <w:r w:rsidR="00B61819">
        <w:rPr>
          <w:sz w:val="23"/>
          <w:szCs w:val="23"/>
          <w:lang w:val="fr-FR"/>
        </w:rPr>
        <w:t>, « </w:t>
      </w:r>
      <w:r w:rsidR="006329B1" w:rsidRPr="00B61819">
        <w:rPr>
          <w:lang w:val="fr-FR"/>
        </w:rPr>
        <w:t>e</w:t>
      </w:r>
      <w:r w:rsidR="008D7840" w:rsidRPr="00B61819">
        <w:rPr>
          <w:lang w:val="fr-FR"/>
        </w:rPr>
        <w:t>n cas de mauvais traitement délibéré infligé par des agents de l</w:t>
      </w:r>
      <w:r w:rsidR="00603708">
        <w:rPr>
          <w:lang w:val="fr-FR"/>
        </w:rPr>
        <w:t>’</w:t>
      </w:r>
      <w:r w:rsidR="006329B1" w:rsidRPr="00B61819">
        <w:rPr>
          <w:lang w:val="fr-FR"/>
        </w:rPr>
        <w:t>État</w:t>
      </w:r>
      <w:r w:rsidR="008D7840" w:rsidRPr="00B61819">
        <w:rPr>
          <w:lang w:val="fr-FR"/>
        </w:rPr>
        <w:t xml:space="preserve"> au mépris de l</w:t>
      </w:r>
      <w:r w:rsidR="00603708">
        <w:rPr>
          <w:lang w:val="fr-FR"/>
        </w:rPr>
        <w:t>’</w:t>
      </w:r>
      <w:r w:rsidR="008D7840" w:rsidRPr="00B61819">
        <w:rPr>
          <w:lang w:val="fr-FR"/>
        </w:rPr>
        <w:t>article 3</w:t>
      </w:r>
      <w:r w:rsidR="00E15A7D">
        <w:rPr>
          <w:lang w:val="fr-FR"/>
        </w:rPr>
        <w:t>,</w:t>
      </w:r>
      <w:r w:rsidR="007D4DC9">
        <w:rPr>
          <w:lang w:val="fr-FR"/>
        </w:rPr>
        <w:t xml:space="preserve"> </w:t>
      </w:r>
      <w:r w:rsidR="008D7840" w:rsidRPr="00B61819">
        <w:rPr>
          <w:lang w:val="fr-FR"/>
        </w:rPr>
        <w:t>la Cour estime de manière constante que</w:t>
      </w:r>
      <w:r w:rsidR="00475A16">
        <w:rPr>
          <w:lang w:val="fr-FR"/>
        </w:rPr>
        <w:t> », en sus de la reconnaissance de la violation, «</w:t>
      </w:r>
      <w:r w:rsidR="007D4DC9">
        <w:rPr>
          <w:lang w:val="fr-FR"/>
        </w:rPr>
        <w:t> </w:t>
      </w:r>
      <w:r w:rsidR="008D7840" w:rsidRPr="00B61819">
        <w:rPr>
          <w:lang w:val="fr-FR"/>
        </w:rPr>
        <w:t>deux mesures s</w:t>
      </w:r>
      <w:r w:rsidR="00603708">
        <w:rPr>
          <w:lang w:val="fr-FR"/>
        </w:rPr>
        <w:t>’</w:t>
      </w:r>
      <w:r w:rsidR="008D7840" w:rsidRPr="00B61819">
        <w:rPr>
          <w:lang w:val="fr-FR"/>
        </w:rPr>
        <w:t>imposent pour que la réparation soit suffisante</w:t>
      </w:r>
      <w:r w:rsidR="00B61819" w:rsidRPr="00B61819">
        <w:rPr>
          <w:lang w:val="fr-FR"/>
        </w:rPr>
        <w:t> »</w:t>
      </w:r>
      <w:r w:rsidR="00475A16">
        <w:rPr>
          <w:lang w:val="fr-FR"/>
        </w:rPr>
        <w:t xml:space="preserve"> </w:t>
      </w:r>
      <w:r w:rsidR="001E466A">
        <w:rPr>
          <w:lang w:val="fr-FR"/>
        </w:rPr>
        <w:t>pour</w:t>
      </w:r>
      <w:r w:rsidR="00475A16">
        <w:rPr>
          <w:lang w:val="fr-FR"/>
        </w:rPr>
        <w:t xml:space="preserve"> </w:t>
      </w:r>
      <w:r w:rsidR="00475A16" w:rsidRPr="00B61819">
        <w:rPr>
          <w:lang w:val="fr-FR"/>
        </w:rPr>
        <w:t>priver le requérant de sa qualité de victime</w:t>
      </w:r>
      <w:r w:rsidR="008D7840" w:rsidRPr="00B61819">
        <w:rPr>
          <w:lang w:val="fr-FR"/>
        </w:rPr>
        <w:t>.</w:t>
      </w:r>
      <w:r w:rsidR="00B61819" w:rsidRPr="00B61819">
        <w:rPr>
          <w:lang w:val="fr-FR"/>
        </w:rPr>
        <w:t xml:space="preserve"> « </w:t>
      </w:r>
      <w:r w:rsidR="008D7840" w:rsidRPr="00B61819">
        <w:rPr>
          <w:lang w:val="fr-FR"/>
        </w:rPr>
        <w:t>Premièrement, les autorités de l</w:t>
      </w:r>
      <w:r w:rsidR="00603708">
        <w:rPr>
          <w:lang w:val="fr-FR"/>
        </w:rPr>
        <w:t>’</w:t>
      </w:r>
      <w:r w:rsidR="00B61819" w:rsidRPr="00B61819">
        <w:rPr>
          <w:lang w:val="fr-FR"/>
        </w:rPr>
        <w:t>État</w:t>
      </w:r>
      <w:r w:rsidR="008D7840" w:rsidRPr="00B61819">
        <w:rPr>
          <w:lang w:val="fr-FR"/>
        </w:rPr>
        <w:t xml:space="preserve"> doivent mener une enquête approfondie et effective pouvant conduire à l</w:t>
      </w:r>
      <w:r w:rsidR="00603708">
        <w:rPr>
          <w:lang w:val="fr-FR"/>
        </w:rPr>
        <w:t>’</w:t>
      </w:r>
      <w:r w:rsidR="008D7840" w:rsidRPr="00B61819">
        <w:rPr>
          <w:lang w:val="fr-FR"/>
        </w:rPr>
        <w:t xml:space="preserve">identification et à la punition des responsables (voir, entre autres, </w:t>
      </w:r>
      <w:r w:rsidR="008D7840" w:rsidRPr="00AC0DAF">
        <w:rPr>
          <w:i/>
          <w:lang w:val="fr-FR"/>
        </w:rPr>
        <w:t>Krastanov</w:t>
      </w:r>
      <w:r w:rsidR="008D7840" w:rsidRPr="00AC0DAF">
        <w:rPr>
          <w:lang w:val="fr-FR"/>
        </w:rPr>
        <w:t>, précité, § 48</w:t>
      </w:r>
      <w:r w:rsidR="007D4DC9">
        <w:rPr>
          <w:lang w:val="fr-FR"/>
        </w:rPr>
        <w:t>,</w:t>
      </w:r>
      <w:r w:rsidR="008D7840" w:rsidRPr="00AC0DAF">
        <w:rPr>
          <w:lang w:val="fr-FR"/>
        </w:rPr>
        <w:t xml:space="preserve"> </w:t>
      </w:r>
      <w:r w:rsidR="008D7840" w:rsidRPr="00AC0DAF">
        <w:rPr>
          <w:i/>
          <w:lang w:val="fr-FR"/>
        </w:rPr>
        <w:t>Çamdereli</w:t>
      </w:r>
      <w:r w:rsidR="00B61819" w:rsidRPr="00AC0DAF">
        <w:rPr>
          <w:lang w:val="fr-FR"/>
        </w:rPr>
        <w:t>, [précité]</w:t>
      </w:r>
      <w:r w:rsidR="00B61819" w:rsidRPr="00AC0DAF">
        <w:rPr>
          <w:i/>
          <w:lang w:val="fr-FR"/>
        </w:rPr>
        <w:t xml:space="preserve"> </w:t>
      </w:r>
      <w:r w:rsidR="00B61819" w:rsidRPr="00AC0DAF">
        <w:rPr>
          <w:lang w:val="fr-FR"/>
        </w:rPr>
        <w:t>§§</w:t>
      </w:r>
      <w:r w:rsidR="007D4DC9">
        <w:rPr>
          <w:lang w:val="fr-FR"/>
        </w:rPr>
        <w:t xml:space="preserve"> </w:t>
      </w:r>
      <w:r w:rsidR="00B61819" w:rsidRPr="00AC0DAF">
        <w:rPr>
          <w:lang w:val="fr-FR"/>
        </w:rPr>
        <w:t>2</w:t>
      </w:r>
      <w:r w:rsidR="008D7840" w:rsidRPr="00AC0DAF">
        <w:rPr>
          <w:lang w:val="fr-FR"/>
        </w:rPr>
        <w:t>8-29</w:t>
      </w:r>
      <w:r w:rsidR="00B61819" w:rsidRPr="00AC0DAF">
        <w:rPr>
          <w:lang w:val="fr-FR"/>
        </w:rPr>
        <w:t xml:space="preserve"> </w:t>
      </w:r>
      <w:r w:rsidR="007D4DC9">
        <w:rPr>
          <w:lang w:val="fr-FR"/>
        </w:rPr>
        <w:t>(</w:t>
      </w:r>
      <w:r w:rsidR="0032468C">
        <w:rPr>
          <w:lang w:val="fr-FR"/>
        </w:rPr>
        <w:t>...</w:t>
      </w:r>
      <w:r w:rsidR="007D4DC9">
        <w:rPr>
          <w:lang w:val="fr-FR"/>
        </w:rPr>
        <w:t>),</w:t>
      </w:r>
      <w:r w:rsidR="008D7840" w:rsidRPr="00AC0DAF">
        <w:rPr>
          <w:lang w:val="fr-FR"/>
        </w:rPr>
        <w:t xml:space="preserve"> et </w:t>
      </w:r>
      <w:r w:rsidR="008D7840" w:rsidRPr="00AC0DAF">
        <w:rPr>
          <w:i/>
          <w:lang w:val="fr-FR"/>
        </w:rPr>
        <w:t>Vladimir Romanov</w:t>
      </w:r>
      <w:r w:rsidR="008D7840" w:rsidRPr="00AC0DAF">
        <w:rPr>
          <w:lang w:val="fr-FR"/>
        </w:rPr>
        <w:t>, précité, §§ 79 et 81</w:t>
      </w:r>
      <w:r w:rsidR="008D7840" w:rsidRPr="00B61819">
        <w:rPr>
          <w:lang w:val="fr-FR"/>
        </w:rPr>
        <w:t>). Deuxièmement, le requérant doit</w:t>
      </w:r>
      <w:r w:rsidR="00BF1F29">
        <w:rPr>
          <w:lang w:val="fr-FR"/>
        </w:rPr>
        <w:t>,</w:t>
      </w:r>
      <w:r w:rsidR="008D7840" w:rsidRPr="00B61819">
        <w:rPr>
          <w:lang w:val="fr-FR"/>
        </w:rPr>
        <w:t xml:space="preserve"> le cas échéant</w:t>
      </w:r>
      <w:r w:rsidR="00BF1F29">
        <w:rPr>
          <w:lang w:val="fr-FR"/>
        </w:rPr>
        <w:t>,</w:t>
      </w:r>
      <w:r w:rsidR="008D7840" w:rsidRPr="00B61819">
        <w:rPr>
          <w:lang w:val="fr-FR"/>
        </w:rPr>
        <w:t xml:space="preserve"> percevoir une compensation (</w:t>
      </w:r>
      <w:r w:rsidR="008D7840" w:rsidRPr="00AC0DAF">
        <w:rPr>
          <w:i/>
          <w:lang w:val="fr-FR"/>
        </w:rPr>
        <w:t>Vladimir Romanov</w:t>
      </w:r>
      <w:r w:rsidR="008D7840" w:rsidRPr="00AC0DAF">
        <w:rPr>
          <w:lang w:val="fr-FR"/>
        </w:rPr>
        <w:t xml:space="preserve">, précité, § 79, et, </w:t>
      </w:r>
      <w:r w:rsidR="008D7840" w:rsidRPr="00AC0DAF">
        <w:rPr>
          <w:i/>
          <w:lang w:val="fr-FR"/>
        </w:rPr>
        <w:t>mutatis mutandis</w:t>
      </w:r>
      <w:r w:rsidR="008D7840" w:rsidRPr="00AC0DAF">
        <w:rPr>
          <w:lang w:val="fr-FR"/>
        </w:rPr>
        <w:t xml:space="preserve">, </w:t>
      </w:r>
      <w:r w:rsidR="008D7840" w:rsidRPr="00AC0DAF">
        <w:rPr>
          <w:i/>
          <w:lang w:val="fr-FR"/>
        </w:rPr>
        <w:t>Aksoy</w:t>
      </w:r>
      <w:r w:rsidR="008D7840" w:rsidRPr="00AC0DAF">
        <w:rPr>
          <w:lang w:val="fr-FR"/>
        </w:rPr>
        <w:t xml:space="preserve">, précité, § 98, et </w:t>
      </w:r>
      <w:r w:rsidR="008D7840" w:rsidRPr="00AC0DAF">
        <w:rPr>
          <w:i/>
          <w:szCs w:val="24"/>
          <w:lang w:val="fr-FR"/>
        </w:rPr>
        <w:t>Abdülsamet Yaman</w:t>
      </w:r>
      <w:r w:rsidR="008D7840" w:rsidRPr="00AC0DAF">
        <w:rPr>
          <w:szCs w:val="24"/>
          <w:lang w:val="fr-FR"/>
        </w:rPr>
        <w:t xml:space="preserve">, </w:t>
      </w:r>
      <w:r w:rsidR="00B61819" w:rsidRPr="00AC0DAF">
        <w:rPr>
          <w:szCs w:val="24"/>
          <w:lang w:val="fr-FR"/>
        </w:rPr>
        <w:t>[précité]</w:t>
      </w:r>
      <w:r w:rsidR="008D7840" w:rsidRPr="00AC0DAF">
        <w:rPr>
          <w:szCs w:val="24"/>
          <w:lang w:val="fr-FR"/>
        </w:rPr>
        <w:t>, § 53</w:t>
      </w:r>
      <w:r w:rsidR="00B61819" w:rsidRPr="00AC0DAF">
        <w:rPr>
          <w:szCs w:val="24"/>
          <w:lang w:val="fr-FR"/>
        </w:rPr>
        <w:t xml:space="preserve"> </w:t>
      </w:r>
      <w:r w:rsidR="00C27E01">
        <w:rPr>
          <w:szCs w:val="24"/>
          <w:lang w:val="fr-FR"/>
        </w:rPr>
        <w:t>(</w:t>
      </w:r>
      <w:r w:rsidR="0032468C">
        <w:rPr>
          <w:szCs w:val="24"/>
          <w:lang w:val="fr-FR"/>
        </w:rPr>
        <w:t>...</w:t>
      </w:r>
      <w:r w:rsidR="00C27E01">
        <w:rPr>
          <w:szCs w:val="24"/>
          <w:lang w:val="fr-FR"/>
        </w:rPr>
        <w:t>)</w:t>
      </w:r>
      <w:r w:rsidR="008D7840" w:rsidRPr="00AC0DAF">
        <w:rPr>
          <w:szCs w:val="24"/>
          <w:lang w:val="fr-FR"/>
        </w:rPr>
        <w:t xml:space="preserve"> (ces deux arrêts dans le contexte de l</w:t>
      </w:r>
      <w:r w:rsidR="00603708">
        <w:rPr>
          <w:szCs w:val="24"/>
          <w:lang w:val="fr-FR"/>
        </w:rPr>
        <w:t>’</w:t>
      </w:r>
      <w:r w:rsidR="008D7840" w:rsidRPr="00AC0DAF">
        <w:rPr>
          <w:szCs w:val="24"/>
          <w:lang w:val="fr-FR"/>
        </w:rPr>
        <w:t>article 13)</w:t>
      </w:r>
      <w:r w:rsidR="008D7840" w:rsidRPr="00B61819">
        <w:rPr>
          <w:szCs w:val="24"/>
          <w:lang w:val="fr-FR"/>
        </w:rPr>
        <w:t>) ou, du moins, avoir la possibilité de demander et d</w:t>
      </w:r>
      <w:r w:rsidR="00603708">
        <w:rPr>
          <w:szCs w:val="24"/>
          <w:lang w:val="fr-FR"/>
        </w:rPr>
        <w:t>’</w:t>
      </w:r>
      <w:r w:rsidR="008D7840" w:rsidRPr="00B61819">
        <w:rPr>
          <w:szCs w:val="24"/>
          <w:lang w:val="fr-FR"/>
        </w:rPr>
        <w:t>obtenir une indemnité pour le préjudice que lui a causé le mauvais traitement</w:t>
      </w:r>
      <w:r w:rsidR="00B61819">
        <w:rPr>
          <w:szCs w:val="24"/>
          <w:lang w:val="fr-FR"/>
        </w:rPr>
        <w:t> ».</w:t>
      </w:r>
    </w:p>
    <w:p w:rsidR="002F54B1" w:rsidRPr="00B61819" w:rsidRDefault="00B61819" w:rsidP="00F238FD">
      <w:pPr>
        <w:pStyle w:val="ECHRPara"/>
        <w:rPr>
          <w:lang w:val="fr-FR"/>
        </w:rPr>
      </w:pPr>
      <w:r>
        <w:rPr>
          <w:lang w:val="fr-FR"/>
        </w:rPr>
        <w:fldChar w:fldCharType="begin"/>
      </w:r>
      <w:r w:rsidRPr="00B61819">
        <w:rPr>
          <w:lang w:val="fr-FR"/>
        </w:rPr>
        <w:instrText xml:space="preserve"> SEQ level0 \*arabic </w:instrText>
      </w:r>
      <w:r>
        <w:rPr>
          <w:lang w:val="fr-FR"/>
        </w:rPr>
        <w:fldChar w:fldCharType="separate"/>
      </w:r>
      <w:r w:rsidR="00B378F9">
        <w:rPr>
          <w:noProof/>
          <w:lang w:val="fr-FR"/>
        </w:rPr>
        <w:t>231</w:t>
      </w:r>
      <w:r>
        <w:rPr>
          <w:lang w:val="fr-FR"/>
        </w:rPr>
        <w:fldChar w:fldCharType="end"/>
      </w:r>
      <w:r w:rsidRPr="00B61819">
        <w:rPr>
          <w:lang w:val="fr-FR"/>
        </w:rPr>
        <w:t>.</w:t>
      </w:r>
      <w:r w:rsidR="00C27E01">
        <w:rPr>
          <w:lang w:val="fr-FR"/>
        </w:rPr>
        <w:t>  </w:t>
      </w:r>
      <w:r w:rsidR="0002452A">
        <w:rPr>
          <w:lang w:val="fr-FR"/>
        </w:rPr>
        <w:t>La Cour a dit à maintes reprises que l</w:t>
      </w:r>
      <w:r w:rsidR="00603708">
        <w:rPr>
          <w:lang w:val="fr-FR"/>
        </w:rPr>
        <w:t>’</w:t>
      </w:r>
      <w:r w:rsidRPr="004C49C4">
        <w:rPr>
          <w:lang w:val="fr-FR"/>
        </w:rPr>
        <w:t>octroi d</w:t>
      </w:r>
      <w:r w:rsidR="00603708">
        <w:rPr>
          <w:lang w:val="fr-FR"/>
        </w:rPr>
        <w:t>’</w:t>
      </w:r>
      <w:r w:rsidRPr="004C49C4">
        <w:rPr>
          <w:lang w:val="fr-FR"/>
        </w:rPr>
        <w:t>une indemnité à la victime ne suffit pas à réparer la violation de l</w:t>
      </w:r>
      <w:r w:rsidR="00603708">
        <w:rPr>
          <w:lang w:val="fr-FR"/>
        </w:rPr>
        <w:t>’</w:t>
      </w:r>
      <w:r w:rsidRPr="004C49C4">
        <w:rPr>
          <w:lang w:val="fr-FR"/>
        </w:rPr>
        <w:t>article 3.</w:t>
      </w:r>
      <w:r w:rsidRPr="00B61819">
        <w:rPr>
          <w:lang w:val="fr-FR"/>
        </w:rPr>
        <w:t xml:space="preserve"> En effet, si les autorités pouvaient se borner à réagir en cas de mauvais traitement délibéré infligé par des agents de l</w:t>
      </w:r>
      <w:r w:rsidR="00603708">
        <w:rPr>
          <w:lang w:val="fr-FR"/>
        </w:rPr>
        <w:t>’</w:t>
      </w:r>
      <w:r w:rsidRPr="00B61819">
        <w:rPr>
          <w:lang w:val="fr-FR"/>
        </w:rPr>
        <w:t>État en accordant une simple indemnité, sans s</w:t>
      </w:r>
      <w:r w:rsidR="00603708">
        <w:rPr>
          <w:lang w:val="fr-FR"/>
        </w:rPr>
        <w:t>’</w:t>
      </w:r>
      <w:r w:rsidRPr="00B61819">
        <w:rPr>
          <w:lang w:val="fr-FR"/>
        </w:rPr>
        <w:t>employer à poursuivre et punir les responsables, les agents de l</w:t>
      </w:r>
      <w:r w:rsidR="00603708">
        <w:rPr>
          <w:lang w:val="fr-FR"/>
        </w:rPr>
        <w:t>’</w:t>
      </w:r>
      <w:r w:rsidRPr="00B61819">
        <w:rPr>
          <w:lang w:val="fr-FR"/>
        </w:rPr>
        <w:t>État pourraient dans certains cas enfreindre les droits des personnes soumises à leur contrôle pratiquement en toute impunité, et l</w:t>
      </w:r>
      <w:r w:rsidR="00603708">
        <w:rPr>
          <w:lang w:val="fr-FR"/>
        </w:rPr>
        <w:t>’</w:t>
      </w:r>
      <w:r w:rsidRPr="00B61819">
        <w:rPr>
          <w:lang w:val="fr-FR"/>
        </w:rPr>
        <w:t>interdiction légale absolue de la torture et des traitements inhumains ou dégradants serait dépourvue d</w:t>
      </w:r>
      <w:r w:rsidR="00603708">
        <w:rPr>
          <w:lang w:val="fr-FR"/>
        </w:rPr>
        <w:t>’</w:t>
      </w:r>
      <w:r w:rsidRPr="00B61819">
        <w:rPr>
          <w:lang w:val="fr-FR"/>
        </w:rPr>
        <w:t>effet utile en dépit de son importance fondamentale (</w:t>
      </w:r>
      <w:r w:rsidRPr="00AC0DAF">
        <w:rPr>
          <w:lang w:val="fr-FR"/>
        </w:rPr>
        <w:t>voir, parmi beaucoup d</w:t>
      </w:r>
      <w:r w:rsidR="00603708">
        <w:rPr>
          <w:lang w:val="fr-FR"/>
        </w:rPr>
        <w:t>’</w:t>
      </w:r>
      <w:r w:rsidRPr="00AC0DAF">
        <w:rPr>
          <w:lang w:val="fr-FR"/>
        </w:rPr>
        <w:t xml:space="preserve">autres, </w:t>
      </w:r>
      <w:r w:rsidR="0002452A" w:rsidRPr="00AC0DAF">
        <w:rPr>
          <w:i/>
          <w:lang w:val="fr-FR"/>
        </w:rPr>
        <w:t>Camdereli</w:t>
      </w:r>
      <w:r w:rsidR="0002452A" w:rsidRPr="00AC0DAF">
        <w:rPr>
          <w:lang w:val="fr-FR"/>
        </w:rPr>
        <w:t>, précité, § 29</w:t>
      </w:r>
      <w:r w:rsidR="00C27E01">
        <w:rPr>
          <w:lang w:val="fr-FR"/>
        </w:rPr>
        <w:t>,</w:t>
      </w:r>
      <w:r w:rsidR="0002452A" w:rsidRPr="00AC0DAF">
        <w:rPr>
          <w:i/>
          <w:lang w:val="fr-FR"/>
        </w:rPr>
        <w:t xml:space="preserve"> Vladimir Romanov</w:t>
      </w:r>
      <w:r w:rsidR="0002452A" w:rsidRPr="00AC0DAF">
        <w:rPr>
          <w:lang w:val="fr-FR"/>
        </w:rPr>
        <w:t>, précité, § 78</w:t>
      </w:r>
      <w:r w:rsidR="00C27E01">
        <w:rPr>
          <w:lang w:val="fr-FR"/>
        </w:rPr>
        <w:t>,</w:t>
      </w:r>
      <w:r w:rsidR="0002452A" w:rsidRPr="00AC0DAF">
        <w:rPr>
          <w:lang w:val="fr-FR"/>
        </w:rPr>
        <w:t xml:space="preserve"> </w:t>
      </w:r>
      <w:r w:rsidR="0002452A" w:rsidRPr="00AC0DAF">
        <w:rPr>
          <w:i/>
          <w:iCs/>
          <w:sz w:val="23"/>
          <w:szCs w:val="23"/>
          <w:lang w:val="fr-FR"/>
        </w:rPr>
        <w:t xml:space="preserve">Gäfgen, </w:t>
      </w:r>
      <w:r w:rsidR="0002452A" w:rsidRPr="00AC0DAF">
        <w:rPr>
          <w:sz w:val="23"/>
          <w:szCs w:val="23"/>
          <w:lang w:val="fr-FR"/>
        </w:rPr>
        <w:t>précité, § 119</w:t>
      </w:r>
      <w:r w:rsidR="00C27E01">
        <w:rPr>
          <w:sz w:val="23"/>
          <w:szCs w:val="23"/>
          <w:lang w:val="fr-FR"/>
        </w:rPr>
        <w:t> ; voir aussi,</w:t>
      </w:r>
      <w:r w:rsidR="0002452A" w:rsidRPr="00AC0DAF">
        <w:rPr>
          <w:i/>
          <w:lang w:val="fr-FR"/>
        </w:rPr>
        <w:t xml:space="preserve"> mutatis mutandis</w:t>
      </w:r>
      <w:r w:rsidR="0002452A" w:rsidRPr="00AC0DAF">
        <w:rPr>
          <w:lang w:val="fr-FR"/>
        </w:rPr>
        <w:t>,</w:t>
      </w:r>
      <w:r w:rsidR="0002452A" w:rsidRPr="00AC0DAF">
        <w:rPr>
          <w:i/>
          <w:lang w:val="fr-FR"/>
        </w:rPr>
        <w:t xml:space="preserve"> Krastanov</w:t>
      </w:r>
      <w:r w:rsidR="0002452A" w:rsidRPr="00AC0DAF">
        <w:rPr>
          <w:lang w:val="fr-FR"/>
        </w:rPr>
        <w:t>, précité, § 60 ; sur le terrain de l</w:t>
      </w:r>
      <w:r w:rsidR="00603708">
        <w:rPr>
          <w:lang w:val="fr-FR"/>
        </w:rPr>
        <w:t>’</w:t>
      </w:r>
      <w:r w:rsidR="0002452A" w:rsidRPr="00AC0DAF">
        <w:rPr>
          <w:lang w:val="fr-FR"/>
        </w:rPr>
        <w:t xml:space="preserve">article 2, voir </w:t>
      </w:r>
      <w:r w:rsidR="0002452A" w:rsidRPr="00AC0DAF">
        <w:rPr>
          <w:i/>
          <w:lang w:val="fr-FR"/>
        </w:rPr>
        <w:t>Nikolova et Velichkova</w:t>
      </w:r>
      <w:r w:rsidR="0002452A" w:rsidRPr="00AC0DAF">
        <w:rPr>
          <w:lang w:val="fr-FR"/>
        </w:rPr>
        <w:t>, précité, § 55, et les références qu</w:t>
      </w:r>
      <w:r w:rsidR="00C27E01">
        <w:rPr>
          <w:lang w:val="fr-FR"/>
        </w:rPr>
        <w:t xml:space="preserve">i </w:t>
      </w:r>
      <w:r w:rsidR="0002452A" w:rsidRPr="00AC0DAF">
        <w:rPr>
          <w:lang w:val="fr-FR"/>
        </w:rPr>
        <w:t>y figurent</w:t>
      </w:r>
      <w:r w:rsidR="005A3309" w:rsidRPr="00AC0DAF">
        <w:rPr>
          <w:lang w:val="fr-FR"/>
        </w:rPr>
        <w:t xml:space="preserve"> ; </w:t>
      </w:r>
      <w:r w:rsidR="00C27E01">
        <w:rPr>
          <w:lang w:val="fr-FR"/>
        </w:rPr>
        <w:t xml:space="preserve">voir, </w:t>
      </w:r>
      <w:r w:rsidR="005A3309" w:rsidRPr="00AC0DAF">
        <w:rPr>
          <w:lang w:val="fr-FR"/>
        </w:rPr>
        <w:t xml:space="preserve">en dernier ressort, </w:t>
      </w:r>
      <w:r w:rsidR="005A3309" w:rsidRPr="00AC0DAF">
        <w:rPr>
          <w:i/>
          <w:lang w:val="fr-FR"/>
        </w:rPr>
        <w:t>Petrović c. Serbie</w:t>
      </w:r>
      <w:r w:rsidR="005A3309" w:rsidRPr="00AC0DAF">
        <w:rPr>
          <w:lang w:val="fr-FR"/>
        </w:rPr>
        <w:t xml:space="preserve">, </w:t>
      </w:r>
      <w:r w:rsidR="00C27E01" w:rsidRPr="00AC0DAF">
        <w:rPr>
          <w:lang w:val="fr-FR"/>
        </w:rPr>
        <w:t>n</w:t>
      </w:r>
      <w:r w:rsidR="00C27E01" w:rsidRPr="00AC0DAF">
        <w:rPr>
          <w:vertAlign w:val="superscript"/>
          <w:lang w:val="fr-FR"/>
        </w:rPr>
        <w:t>o</w:t>
      </w:r>
      <w:r w:rsidR="00C27E01">
        <w:rPr>
          <w:lang w:val="fr-FR"/>
        </w:rPr>
        <w:t> </w:t>
      </w:r>
      <w:r w:rsidR="005A3309" w:rsidRPr="00AC0DAF">
        <w:rPr>
          <w:lang w:val="fr-FR"/>
        </w:rPr>
        <w:t>40485/08</w:t>
      </w:r>
      <w:r w:rsidR="005A3309" w:rsidRPr="00AC0DAF">
        <w:rPr>
          <w:snapToGrid w:val="0"/>
          <w:lang w:val="fr-FR"/>
        </w:rPr>
        <w:t xml:space="preserve">, § 80, 15 </w:t>
      </w:r>
      <w:r w:rsidR="005A3309" w:rsidRPr="00AC0DAF">
        <w:rPr>
          <w:lang w:val="fr-FR"/>
        </w:rPr>
        <w:t>juillet</w:t>
      </w:r>
      <w:r w:rsidR="005A3309" w:rsidRPr="00AC0DAF">
        <w:rPr>
          <w:snapToGrid w:val="0"/>
          <w:lang w:val="fr-FR"/>
        </w:rPr>
        <w:t xml:space="preserve"> 2014</w:t>
      </w:r>
      <w:r w:rsidRPr="00B61819">
        <w:rPr>
          <w:lang w:val="fr-FR"/>
        </w:rPr>
        <w:t>).</w:t>
      </w:r>
    </w:p>
    <w:p w:rsidR="00AA1E26" w:rsidRPr="004C49C4" w:rsidRDefault="004C49C4" w:rsidP="00F238FD">
      <w:pPr>
        <w:pStyle w:val="ECHRPara"/>
        <w:rPr>
          <w:szCs w:val="24"/>
          <w:lang w:val="fr-FR"/>
        </w:rPr>
      </w:pPr>
      <w:r>
        <w:rPr>
          <w:lang w:val="fr-FR"/>
        </w:rPr>
        <w:t>C</w:t>
      </w:r>
      <w:r w:rsidR="00603708">
        <w:rPr>
          <w:lang w:val="fr-FR"/>
        </w:rPr>
        <w:t>’</w:t>
      </w:r>
      <w:r>
        <w:rPr>
          <w:lang w:val="fr-FR"/>
        </w:rPr>
        <w:t>est pourquoi l</w:t>
      </w:r>
      <w:r w:rsidRPr="00B61819">
        <w:rPr>
          <w:szCs w:val="24"/>
          <w:lang w:val="fr-FR"/>
        </w:rPr>
        <w:t>a possibilité</w:t>
      </w:r>
      <w:r>
        <w:rPr>
          <w:szCs w:val="24"/>
          <w:lang w:val="fr-FR"/>
        </w:rPr>
        <w:t xml:space="preserve"> pour le requérant</w:t>
      </w:r>
      <w:r w:rsidR="00C27E01">
        <w:rPr>
          <w:szCs w:val="24"/>
          <w:lang w:val="fr-FR"/>
        </w:rPr>
        <w:t xml:space="preserve"> </w:t>
      </w:r>
      <w:r w:rsidRPr="00B61819">
        <w:rPr>
          <w:szCs w:val="24"/>
          <w:lang w:val="fr-FR"/>
        </w:rPr>
        <w:t>de demander et d</w:t>
      </w:r>
      <w:r w:rsidR="00603708">
        <w:rPr>
          <w:szCs w:val="24"/>
          <w:lang w:val="fr-FR"/>
        </w:rPr>
        <w:t>’</w:t>
      </w:r>
      <w:r w:rsidRPr="00B61819">
        <w:rPr>
          <w:szCs w:val="24"/>
          <w:lang w:val="fr-FR"/>
        </w:rPr>
        <w:t>obtenir une indemnité pour le préjudice que lui a causé le mauvais traitement</w:t>
      </w:r>
      <w:r w:rsidR="00C27E01">
        <w:rPr>
          <w:szCs w:val="24"/>
          <w:lang w:val="fr-FR"/>
        </w:rPr>
        <w:t xml:space="preserve"> </w:t>
      </w:r>
      <w:r>
        <w:rPr>
          <w:szCs w:val="24"/>
          <w:lang w:val="fr-FR"/>
        </w:rPr>
        <w:t xml:space="preserve">ou bien </w:t>
      </w:r>
      <w:r w:rsidR="001E466A">
        <w:rPr>
          <w:szCs w:val="24"/>
          <w:lang w:val="fr-FR"/>
        </w:rPr>
        <w:t>le versement</w:t>
      </w:r>
      <w:r>
        <w:rPr>
          <w:szCs w:val="24"/>
          <w:lang w:val="fr-FR"/>
        </w:rPr>
        <w:t xml:space="preserve">, comme dans la présente affaire, </w:t>
      </w:r>
      <w:r w:rsidR="001E466A">
        <w:rPr>
          <w:szCs w:val="24"/>
          <w:lang w:val="fr-FR"/>
        </w:rPr>
        <w:t xml:space="preserve">par </w:t>
      </w:r>
      <w:r>
        <w:rPr>
          <w:szCs w:val="24"/>
          <w:lang w:val="fr-FR"/>
        </w:rPr>
        <w:t xml:space="preserve">les autorités </w:t>
      </w:r>
      <w:r w:rsidR="001E466A">
        <w:rPr>
          <w:szCs w:val="24"/>
          <w:lang w:val="fr-FR"/>
        </w:rPr>
        <w:t>d</w:t>
      </w:r>
      <w:r w:rsidR="00603708">
        <w:rPr>
          <w:szCs w:val="24"/>
          <w:lang w:val="fr-FR"/>
        </w:rPr>
        <w:t>’</w:t>
      </w:r>
      <w:r>
        <w:rPr>
          <w:szCs w:val="24"/>
          <w:lang w:val="fr-FR"/>
        </w:rPr>
        <w:t xml:space="preserve">une </w:t>
      </w:r>
      <w:r w:rsidR="00C27E01">
        <w:rPr>
          <w:szCs w:val="24"/>
          <w:lang w:val="fr-FR"/>
        </w:rPr>
        <w:t xml:space="preserve">certaine somme </w:t>
      </w:r>
      <w:r w:rsidR="00B131FD">
        <w:rPr>
          <w:szCs w:val="24"/>
          <w:lang w:val="fr-FR"/>
        </w:rPr>
        <w:t xml:space="preserve">à titre de provision </w:t>
      </w:r>
      <w:r>
        <w:rPr>
          <w:szCs w:val="24"/>
          <w:lang w:val="fr-FR"/>
        </w:rPr>
        <w:t>constitue</w:t>
      </w:r>
      <w:r w:rsidR="00C27E01">
        <w:rPr>
          <w:szCs w:val="24"/>
          <w:lang w:val="fr-FR"/>
        </w:rPr>
        <w:t>nt</w:t>
      </w:r>
      <w:r>
        <w:rPr>
          <w:szCs w:val="24"/>
          <w:lang w:val="fr-FR"/>
        </w:rPr>
        <w:t xml:space="preserve"> seulement une partie des mesures nécessaires (</w:t>
      </w:r>
      <w:r w:rsidRPr="00AC0DAF">
        <w:rPr>
          <w:i/>
          <w:lang w:val="fr-FR"/>
        </w:rPr>
        <w:t>Camdereli</w:t>
      </w:r>
      <w:r w:rsidRPr="00AC0DAF">
        <w:rPr>
          <w:lang w:val="fr-FR"/>
        </w:rPr>
        <w:t xml:space="preserve">, </w:t>
      </w:r>
      <w:r w:rsidR="00FE1F94" w:rsidRPr="00AC0DAF">
        <w:rPr>
          <w:lang w:val="fr-FR"/>
        </w:rPr>
        <w:t xml:space="preserve">précité, </w:t>
      </w:r>
      <w:r w:rsidRPr="00AC0DAF">
        <w:rPr>
          <w:lang w:val="fr-FR"/>
        </w:rPr>
        <w:t>§ 30</w:t>
      </w:r>
      <w:r w:rsidR="00C27E01">
        <w:rPr>
          <w:lang w:val="fr-FR"/>
        </w:rPr>
        <w:t>,</w:t>
      </w:r>
      <w:r w:rsidRPr="00AC0DAF">
        <w:rPr>
          <w:lang w:val="fr-FR"/>
        </w:rPr>
        <w:t xml:space="preserve"> </w:t>
      </w:r>
      <w:r w:rsidRPr="00AC0DAF">
        <w:rPr>
          <w:i/>
          <w:lang w:val="fr-FR"/>
        </w:rPr>
        <w:t>Vladimir Romanov</w:t>
      </w:r>
      <w:r w:rsidRPr="00AC0DAF">
        <w:rPr>
          <w:lang w:val="fr-FR"/>
        </w:rPr>
        <w:t>,</w:t>
      </w:r>
      <w:r w:rsidR="00FE1F94" w:rsidRPr="00AC0DAF">
        <w:rPr>
          <w:lang w:val="fr-FR"/>
        </w:rPr>
        <w:t xml:space="preserve"> précité,</w:t>
      </w:r>
      <w:r w:rsidRPr="00AC0DAF">
        <w:rPr>
          <w:lang w:val="fr-FR"/>
        </w:rPr>
        <w:t xml:space="preserve"> § 79</w:t>
      </w:r>
      <w:r w:rsidR="00C27E01">
        <w:rPr>
          <w:lang w:val="fr-FR"/>
        </w:rPr>
        <w:t>, et</w:t>
      </w:r>
      <w:r w:rsidRPr="00AC0DAF">
        <w:rPr>
          <w:lang w:val="fr-FR"/>
        </w:rPr>
        <w:t xml:space="preserve"> </w:t>
      </w:r>
      <w:r w:rsidRPr="00AC0DAF">
        <w:rPr>
          <w:i/>
          <w:lang w:val="fr-FR"/>
        </w:rPr>
        <w:t>Nikolova et Velichkova</w:t>
      </w:r>
      <w:r w:rsidRPr="00AC0DAF">
        <w:rPr>
          <w:lang w:val="fr-FR"/>
        </w:rPr>
        <w:t xml:space="preserve">, </w:t>
      </w:r>
      <w:r w:rsidR="00FE1F94" w:rsidRPr="00AC0DAF">
        <w:rPr>
          <w:lang w:val="fr-FR"/>
        </w:rPr>
        <w:t xml:space="preserve">précité, </w:t>
      </w:r>
      <w:r w:rsidRPr="00AC0DAF">
        <w:rPr>
          <w:lang w:val="fr-FR"/>
        </w:rPr>
        <w:t>§ 56</w:t>
      </w:r>
      <w:r>
        <w:rPr>
          <w:lang w:val="fr-FR"/>
        </w:rPr>
        <w:t>).</w:t>
      </w:r>
    </w:p>
    <w:p w:rsidR="0032468C" w:rsidRDefault="00B64849" w:rsidP="005D3212">
      <w:pPr>
        <w:pStyle w:val="ECHRPara"/>
        <w:rPr>
          <w:lang w:val="fr-FR"/>
        </w:rPr>
      </w:pPr>
      <w:r>
        <w:rPr>
          <w:szCs w:val="24"/>
          <w:lang w:val="fr-FR"/>
        </w:rPr>
        <w:fldChar w:fldCharType="begin"/>
      </w:r>
      <w:r>
        <w:rPr>
          <w:szCs w:val="24"/>
          <w:lang w:val="fr-FR"/>
        </w:rPr>
        <w:instrText xml:space="preserve"> SEQ level0 \*arabic </w:instrText>
      </w:r>
      <w:r>
        <w:rPr>
          <w:szCs w:val="24"/>
          <w:lang w:val="fr-FR"/>
        </w:rPr>
        <w:fldChar w:fldCharType="separate"/>
      </w:r>
      <w:r w:rsidR="00B378F9">
        <w:rPr>
          <w:noProof/>
          <w:szCs w:val="24"/>
          <w:lang w:val="fr-FR"/>
        </w:rPr>
        <w:t>232</w:t>
      </w:r>
      <w:r>
        <w:rPr>
          <w:szCs w:val="24"/>
          <w:lang w:val="fr-FR"/>
        </w:rPr>
        <w:fldChar w:fldCharType="end"/>
      </w:r>
      <w:r>
        <w:rPr>
          <w:szCs w:val="24"/>
          <w:lang w:val="fr-FR"/>
        </w:rPr>
        <w:t>. </w:t>
      </w:r>
      <w:r w:rsidR="005C2912">
        <w:rPr>
          <w:szCs w:val="24"/>
          <w:lang w:val="fr-FR"/>
        </w:rPr>
        <w:t> </w:t>
      </w:r>
      <w:r w:rsidR="005D3212">
        <w:rPr>
          <w:lang w:val="fr-FR"/>
        </w:rPr>
        <w:t>En ce qui concerne le deuxième volet de l</w:t>
      </w:r>
      <w:r w:rsidR="00603708">
        <w:rPr>
          <w:lang w:val="fr-FR"/>
        </w:rPr>
        <w:t>’</w:t>
      </w:r>
      <w:r w:rsidR="005D3212">
        <w:rPr>
          <w:lang w:val="fr-FR"/>
        </w:rPr>
        <w:t>exception de non-épuisement des voies de recours internes, tiré du fait que le requérant n</w:t>
      </w:r>
      <w:r w:rsidR="00603708">
        <w:rPr>
          <w:lang w:val="fr-FR"/>
        </w:rPr>
        <w:t>’</w:t>
      </w:r>
      <w:r w:rsidR="005D3212">
        <w:rPr>
          <w:lang w:val="fr-FR"/>
        </w:rPr>
        <w:t xml:space="preserve">a pas introduit une procédure civile </w:t>
      </w:r>
      <w:r w:rsidR="00481551">
        <w:rPr>
          <w:lang w:val="fr-FR"/>
        </w:rPr>
        <w:t xml:space="preserve">ultérieure </w:t>
      </w:r>
      <w:r w:rsidR="005D3212">
        <w:rPr>
          <w:lang w:val="fr-FR"/>
        </w:rPr>
        <w:t xml:space="preserve">en dommages-intérêts </w:t>
      </w:r>
      <w:r w:rsidR="005D3212" w:rsidRPr="00AE3736">
        <w:rPr>
          <w:lang w:val="fr-FR"/>
        </w:rPr>
        <w:t xml:space="preserve">(paragraphe </w:t>
      </w:r>
      <w:r w:rsidR="001F797F" w:rsidRPr="00AE3736">
        <w:rPr>
          <w:lang w:val="fr-FR"/>
        </w:rPr>
        <w:t>139</w:t>
      </w:r>
      <w:r w:rsidR="005D3212" w:rsidRPr="00AE3736">
        <w:rPr>
          <w:lang w:val="fr-FR"/>
        </w:rPr>
        <w:t xml:space="preserve"> ci-dessus),</w:t>
      </w:r>
      <w:r w:rsidR="0032468C">
        <w:rPr>
          <w:lang w:val="fr-FR"/>
        </w:rPr>
        <w:t xml:space="preserve"> </w:t>
      </w:r>
      <w:r w:rsidR="005D3212">
        <w:rPr>
          <w:lang w:val="fr-FR"/>
        </w:rPr>
        <w:t xml:space="preserve">la Cour </w:t>
      </w:r>
      <w:r w:rsidR="005C2912">
        <w:rPr>
          <w:lang w:val="fr-FR"/>
        </w:rPr>
        <w:t>rappelle</w:t>
      </w:r>
      <w:r w:rsidR="00D943E5">
        <w:rPr>
          <w:lang w:val="fr-FR"/>
        </w:rPr>
        <w:t xml:space="preserve"> </w:t>
      </w:r>
      <w:r w:rsidR="005D3212">
        <w:rPr>
          <w:lang w:val="fr-FR"/>
        </w:rPr>
        <w:t>qu</w:t>
      </w:r>
      <w:r w:rsidR="00603708">
        <w:rPr>
          <w:lang w:val="fr-FR"/>
        </w:rPr>
        <w:t>’</w:t>
      </w:r>
      <w:r w:rsidR="005D3212">
        <w:rPr>
          <w:lang w:val="fr-FR"/>
        </w:rPr>
        <w:t xml:space="preserve">elle a rejeté </w:t>
      </w:r>
      <w:r w:rsidR="005C2912">
        <w:rPr>
          <w:lang w:val="fr-FR"/>
        </w:rPr>
        <w:t xml:space="preserve">à maintes reprises </w:t>
      </w:r>
      <w:r w:rsidR="005D3212">
        <w:rPr>
          <w:lang w:val="fr-FR"/>
        </w:rPr>
        <w:t>des excepti</w:t>
      </w:r>
      <w:r w:rsidR="00930260">
        <w:rPr>
          <w:lang w:val="fr-FR"/>
        </w:rPr>
        <w:t xml:space="preserve">ons similaires, </w:t>
      </w:r>
      <w:r w:rsidR="005C2912">
        <w:rPr>
          <w:lang w:val="fr-FR"/>
        </w:rPr>
        <w:t xml:space="preserve">après avoir </w:t>
      </w:r>
      <w:r w:rsidR="00930260">
        <w:rPr>
          <w:lang w:val="fr-FR"/>
        </w:rPr>
        <w:t>observ</w:t>
      </w:r>
      <w:r w:rsidR="005C2912">
        <w:rPr>
          <w:lang w:val="fr-FR"/>
        </w:rPr>
        <w:t>é</w:t>
      </w:r>
      <w:r w:rsidR="00930260">
        <w:rPr>
          <w:lang w:val="fr-FR"/>
        </w:rPr>
        <w:t xml:space="preserve"> que</w:t>
      </w:r>
      <w:r w:rsidR="005D3212">
        <w:rPr>
          <w:lang w:val="fr-FR"/>
        </w:rPr>
        <w:t xml:space="preserve"> la procédure en dommages-intérêts ne vis</w:t>
      </w:r>
      <w:r w:rsidR="005C2912">
        <w:rPr>
          <w:lang w:val="fr-FR"/>
        </w:rPr>
        <w:t>ait</w:t>
      </w:r>
      <w:r w:rsidR="005D3212">
        <w:rPr>
          <w:lang w:val="fr-FR"/>
        </w:rPr>
        <w:t xml:space="preserve"> pas la punition des responsables des actes contraires aux articles 2 ou 3 </w:t>
      </w:r>
      <w:r w:rsidR="00B131FD">
        <w:rPr>
          <w:lang w:val="fr-FR"/>
        </w:rPr>
        <w:t xml:space="preserve">de la Convention </w:t>
      </w:r>
      <w:r w:rsidR="005D3212">
        <w:rPr>
          <w:lang w:val="fr-FR"/>
        </w:rPr>
        <w:t xml:space="preserve">et </w:t>
      </w:r>
      <w:r w:rsidR="00B131FD">
        <w:rPr>
          <w:lang w:val="fr-FR"/>
        </w:rPr>
        <w:t xml:space="preserve">en </w:t>
      </w:r>
      <w:r w:rsidR="005C2912">
        <w:rPr>
          <w:lang w:val="fr-FR"/>
        </w:rPr>
        <w:t xml:space="preserve">réaffirmant </w:t>
      </w:r>
      <w:r w:rsidR="005D3212">
        <w:rPr>
          <w:lang w:val="fr-FR"/>
        </w:rPr>
        <w:t xml:space="preserve">que, </w:t>
      </w:r>
      <w:r w:rsidR="001E466A">
        <w:rPr>
          <w:lang w:val="fr-FR"/>
        </w:rPr>
        <w:t>pour des</w:t>
      </w:r>
      <w:r w:rsidR="005D3212">
        <w:rPr>
          <w:lang w:val="fr-FR"/>
        </w:rPr>
        <w:t xml:space="preserve"> violations de ce type, la réaction des autorités ne peut se limiter au dédommagement de la victime (</w:t>
      </w:r>
      <w:r w:rsidR="005D3212" w:rsidRPr="00AC0DAF">
        <w:rPr>
          <w:lang w:val="fr-FR"/>
        </w:rPr>
        <w:t>voir, parmi beaucoup d</w:t>
      </w:r>
      <w:r w:rsidR="00603708">
        <w:rPr>
          <w:lang w:val="fr-FR"/>
        </w:rPr>
        <w:t>’</w:t>
      </w:r>
      <w:r w:rsidR="005D3212" w:rsidRPr="00AC0DAF">
        <w:rPr>
          <w:lang w:val="fr-FR"/>
        </w:rPr>
        <w:t xml:space="preserve">autres, </w:t>
      </w:r>
      <w:r w:rsidR="005D3212" w:rsidRPr="00AC0DAF">
        <w:rPr>
          <w:i/>
          <w:lang w:val="fr-FR"/>
        </w:rPr>
        <w:t>Yaşa c</w:t>
      </w:r>
      <w:r w:rsidR="005C2912" w:rsidRPr="00AC0DAF">
        <w:rPr>
          <w:i/>
          <w:lang w:val="fr-FR"/>
        </w:rPr>
        <w:t>.</w:t>
      </w:r>
      <w:r w:rsidR="005C2912">
        <w:rPr>
          <w:i/>
          <w:lang w:val="fr-FR"/>
        </w:rPr>
        <w:t> </w:t>
      </w:r>
      <w:r w:rsidR="005D3212" w:rsidRPr="00AC0DAF">
        <w:rPr>
          <w:i/>
          <w:lang w:val="fr-FR"/>
        </w:rPr>
        <w:t>Turquie</w:t>
      </w:r>
      <w:r w:rsidR="005D3212" w:rsidRPr="00AC0DAF">
        <w:rPr>
          <w:lang w:val="fr-FR"/>
        </w:rPr>
        <w:t xml:space="preserve">, 2 septembre 1998, §§ 70-74, </w:t>
      </w:r>
      <w:r w:rsidR="005D3212" w:rsidRPr="00AC0DAF">
        <w:rPr>
          <w:i/>
          <w:lang w:val="fr-FR"/>
        </w:rPr>
        <w:t xml:space="preserve">Recueil </w:t>
      </w:r>
      <w:r w:rsidR="005D3212" w:rsidRPr="00AC0DAF">
        <w:rPr>
          <w:lang w:val="fr-FR"/>
        </w:rPr>
        <w:t>1998</w:t>
      </w:r>
      <w:r w:rsidR="005D3212" w:rsidRPr="00AC0DAF">
        <w:rPr>
          <w:lang w:val="fr-FR"/>
        </w:rPr>
        <w:noBreakHyphen/>
        <w:t>VI</w:t>
      </w:r>
      <w:r w:rsidR="005C2912">
        <w:rPr>
          <w:lang w:val="fr-FR"/>
        </w:rPr>
        <w:t>,</w:t>
      </w:r>
      <w:r w:rsidR="005D3212" w:rsidRPr="00AC0DAF">
        <w:rPr>
          <w:lang w:val="fr-FR"/>
        </w:rPr>
        <w:t xml:space="preserve"> </w:t>
      </w:r>
      <w:r w:rsidR="005D3212" w:rsidRPr="00AC0DAF">
        <w:rPr>
          <w:i/>
          <w:lang w:val="fr-FR"/>
        </w:rPr>
        <w:t>Oğur c. Turquie</w:t>
      </w:r>
      <w:r w:rsidR="005D3212" w:rsidRPr="00AC0DAF">
        <w:rPr>
          <w:lang w:val="fr-FR"/>
        </w:rPr>
        <w:t xml:space="preserve"> [GC], n</w:t>
      </w:r>
      <w:r w:rsidR="005D3212" w:rsidRPr="00AC0DAF">
        <w:rPr>
          <w:vertAlign w:val="superscript"/>
          <w:lang w:val="fr-FR"/>
        </w:rPr>
        <w:t>o</w:t>
      </w:r>
      <w:r w:rsidR="005D3212" w:rsidRPr="00AC0DAF">
        <w:rPr>
          <w:lang w:val="fr-FR"/>
        </w:rPr>
        <w:t xml:space="preserve"> 21594/93, §§ 66-67, CEDH 1999</w:t>
      </w:r>
      <w:r w:rsidR="005D3212" w:rsidRPr="00AC0DAF">
        <w:rPr>
          <w:lang w:val="fr-FR"/>
        </w:rPr>
        <w:noBreakHyphen/>
        <w:t>III</w:t>
      </w:r>
      <w:r w:rsidR="005C2912">
        <w:rPr>
          <w:lang w:val="fr-FR"/>
        </w:rPr>
        <w:t>,</w:t>
      </w:r>
      <w:r w:rsidR="005D3212" w:rsidRPr="00AC0DAF">
        <w:rPr>
          <w:lang w:val="fr-FR"/>
        </w:rPr>
        <w:t xml:space="preserve"> </w:t>
      </w:r>
      <w:r w:rsidR="005D3212" w:rsidRPr="00AC0DAF">
        <w:rPr>
          <w:i/>
          <w:lang w:val="fr-FR"/>
        </w:rPr>
        <w:t>Issaïeva et autres c. Russie</w:t>
      </w:r>
      <w:r w:rsidR="005D3212" w:rsidRPr="00AC0DAF">
        <w:rPr>
          <w:lang w:val="fr-FR"/>
        </w:rPr>
        <w:t>, n</w:t>
      </w:r>
      <w:r w:rsidR="005D3212" w:rsidRPr="00AC0DAF">
        <w:rPr>
          <w:vertAlign w:val="superscript"/>
          <w:lang w:val="fr-FR"/>
        </w:rPr>
        <w:t>os</w:t>
      </w:r>
      <w:r w:rsidR="005D3212" w:rsidRPr="00AC0DAF">
        <w:rPr>
          <w:lang w:val="fr-FR"/>
        </w:rPr>
        <w:t xml:space="preserve"> 57947/00, 57948/00 et 57949/00, §§ 146-149, 24 février 2005</w:t>
      </w:r>
      <w:r w:rsidR="005C2912">
        <w:rPr>
          <w:lang w:val="fr-FR"/>
        </w:rPr>
        <w:t>,</w:t>
      </w:r>
      <w:r w:rsidR="005D3212" w:rsidRPr="00AC0DAF">
        <w:rPr>
          <w:lang w:val="fr-FR"/>
        </w:rPr>
        <w:t xml:space="preserve"> </w:t>
      </w:r>
      <w:r w:rsidR="005D3212" w:rsidRPr="00AC0DAF">
        <w:rPr>
          <w:i/>
          <w:lang w:val="fr-FR"/>
        </w:rPr>
        <w:t>Estamirov et autres c. Russie</w:t>
      </w:r>
      <w:r w:rsidR="005D3212" w:rsidRPr="00AC0DAF">
        <w:rPr>
          <w:lang w:val="fr-FR"/>
        </w:rPr>
        <w:t>, n</w:t>
      </w:r>
      <w:r w:rsidR="005D3212" w:rsidRPr="00AC0DAF">
        <w:rPr>
          <w:vertAlign w:val="superscript"/>
          <w:lang w:val="fr-FR"/>
        </w:rPr>
        <w:t>o</w:t>
      </w:r>
      <w:r w:rsidR="005D3212" w:rsidRPr="00AC0DAF">
        <w:rPr>
          <w:lang w:val="fr-FR"/>
        </w:rPr>
        <w:t xml:space="preserve"> 60272/00, §§ 76-77, 12 octobre 2006</w:t>
      </w:r>
      <w:r w:rsidR="005C2912">
        <w:rPr>
          <w:lang w:val="fr-FR"/>
        </w:rPr>
        <w:t>,</w:t>
      </w:r>
      <w:r w:rsidR="005D3212" w:rsidRPr="00AC0DAF">
        <w:rPr>
          <w:lang w:val="fr-FR"/>
        </w:rPr>
        <w:t xml:space="preserve"> </w:t>
      </w:r>
      <w:r w:rsidR="005D3212" w:rsidRPr="00AC0DAF">
        <w:rPr>
          <w:i/>
          <w:lang w:val="fr-FR"/>
        </w:rPr>
        <w:t>Beganović c. Croatie</w:t>
      </w:r>
      <w:r w:rsidR="005D3212" w:rsidRPr="00AC0DAF">
        <w:rPr>
          <w:lang w:val="fr-FR"/>
        </w:rPr>
        <w:t>, n</w:t>
      </w:r>
      <w:r w:rsidR="005D3212" w:rsidRPr="00AC0DAF">
        <w:rPr>
          <w:vertAlign w:val="superscript"/>
          <w:lang w:val="fr-FR"/>
        </w:rPr>
        <w:t>o</w:t>
      </w:r>
      <w:r w:rsidR="005D3212" w:rsidRPr="00AC0DAF">
        <w:rPr>
          <w:lang w:val="fr-FR"/>
        </w:rPr>
        <w:t xml:space="preserve"> 46423/06</w:t>
      </w:r>
      <w:r w:rsidR="005D3212" w:rsidRPr="00AC0DAF">
        <w:rPr>
          <w:snapToGrid w:val="0"/>
          <w:lang w:val="fr-FR"/>
        </w:rPr>
        <w:t xml:space="preserve">, §§ 54-57, </w:t>
      </w:r>
      <w:r w:rsidR="005D3212" w:rsidRPr="00AC0DAF">
        <w:rPr>
          <w:lang w:val="fr-FR"/>
        </w:rPr>
        <w:t>25 juin 2009</w:t>
      </w:r>
      <w:r w:rsidR="005C2912">
        <w:rPr>
          <w:lang w:val="fr-FR"/>
        </w:rPr>
        <w:t>, et</w:t>
      </w:r>
      <w:r w:rsidR="0032468C">
        <w:rPr>
          <w:lang w:val="fr-FR"/>
        </w:rPr>
        <w:t xml:space="preserve"> </w:t>
      </w:r>
      <w:r w:rsidR="005D3212" w:rsidRPr="00AC0DAF">
        <w:rPr>
          <w:i/>
          <w:snapToGrid w:val="0"/>
          <w:lang w:val="fr-FR"/>
        </w:rPr>
        <w:t xml:space="preserve">Fadime et Turan </w:t>
      </w:r>
      <w:r w:rsidR="005D3212" w:rsidRPr="00AC0DAF">
        <w:rPr>
          <w:i/>
          <w:lang w:val="fr-FR"/>
        </w:rPr>
        <w:t>Karabulut c. Turquie</w:t>
      </w:r>
      <w:r w:rsidR="005D3212" w:rsidRPr="00AC0DAF">
        <w:rPr>
          <w:lang w:val="fr-FR"/>
        </w:rPr>
        <w:t>, n</w:t>
      </w:r>
      <w:r w:rsidR="005D3212" w:rsidRPr="00AC0DAF">
        <w:rPr>
          <w:vertAlign w:val="superscript"/>
          <w:lang w:val="fr-FR"/>
        </w:rPr>
        <w:t>o</w:t>
      </w:r>
      <w:r w:rsidR="005D3212" w:rsidRPr="00AC0DAF">
        <w:rPr>
          <w:lang w:val="fr-FR"/>
        </w:rPr>
        <w:t xml:space="preserve"> 23872/04</w:t>
      </w:r>
      <w:r w:rsidR="005D3212" w:rsidRPr="00AC0DAF">
        <w:rPr>
          <w:snapToGrid w:val="0"/>
          <w:lang w:val="fr-FR"/>
        </w:rPr>
        <w:t>, §§ 13-15, 27 mai 2010</w:t>
      </w:r>
      <w:r w:rsidR="005D3212">
        <w:rPr>
          <w:snapToGrid w:val="0"/>
          <w:lang w:val="fr-FR"/>
        </w:rPr>
        <w:t>)</w:t>
      </w:r>
      <w:r w:rsidR="005D3212">
        <w:rPr>
          <w:lang w:val="fr-FR"/>
        </w:rPr>
        <w:t>.</w:t>
      </w:r>
    </w:p>
    <w:p w:rsidR="006A35A8" w:rsidRDefault="005D3212" w:rsidP="005D3212">
      <w:pPr>
        <w:pStyle w:val="ECHRPara"/>
        <w:rPr>
          <w:lang w:val="fr-FR"/>
        </w:rPr>
      </w:pPr>
      <w:r>
        <w:rPr>
          <w:lang w:val="fr-FR"/>
        </w:rPr>
        <w:t>En d</w:t>
      </w:r>
      <w:r w:rsidR="00603708">
        <w:rPr>
          <w:lang w:val="fr-FR"/>
        </w:rPr>
        <w:t>’</w:t>
      </w:r>
      <w:r>
        <w:rPr>
          <w:lang w:val="fr-FR"/>
        </w:rPr>
        <w:t xml:space="preserve">autres termes, </w:t>
      </w:r>
      <w:r w:rsidR="006A35A8">
        <w:rPr>
          <w:lang w:val="fr-FR"/>
        </w:rPr>
        <w:t>dès lors que, en cas de traitements contraires à l</w:t>
      </w:r>
      <w:r w:rsidR="00603708">
        <w:rPr>
          <w:lang w:val="fr-FR"/>
        </w:rPr>
        <w:t>’</w:t>
      </w:r>
      <w:r w:rsidR="006A35A8">
        <w:rPr>
          <w:lang w:val="fr-FR"/>
        </w:rPr>
        <w:t xml:space="preserve">article 3 de la Convention, </w:t>
      </w:r>
      <w:r w:rsidR="001E466A">
        <w:rPr>
          <w:lang w:val="fr-FR"/>
        </w:rPr>
        <w:t>l</w:t>
      </w:r>
      <w:r w:rsidR="00603708">
        <w:rPr>
          <w:lang w:val="fr-FR"/>
        </w:rPr>
        <w:t>’</w:t>
      </w:r>
      <w:r w:rsidR="001E466A">
        <w:rPr>
          <w:lang w:val="fr-FR"/>
        </w:rPr>
        <w:t xml:space="preserve">obligation </w:t>
      </w:r>
      <w:r w:rsidR="006A35A8">
        <w:rPr>
          <w:lang w:val="fr-FR"/>
        </w:rPr>
        <w:t>d</w:t>
      </w:r>
      <w:r w:rsidR="00603708">
        <w:rPr>
          <w:lang w:val="fr-FR"/>
        </w:rPr>
        <w:t>’</w:t>
      </w:r>
      <w:r w:rsidR="006A35A8">
        <w:rPr>
          <w:lang w:val="fr-FR"/>
        </w:rPr>
        <w:t>octroyer une réparation au niveau interne s</w:t>
      </w:r>
      <w:r w:rsidR="00603708">
        <w:rPr>
          <w:lang w:val="fr-FR"/>
        </w:rPr>
        <w:t>’</w:t>
      </w:r>
      <w:r w:rsidR="006A35A8">
        <w:rPr>
          <w:lang w:val="fr-FR"/>
        </w:rPr>
        <w:t>ajoute à l</w:t>
      </w:r>
      <w:r w:rsidR="00603708">
        <w:rPr>
          <w:lang w:val="fr-FR"/>
        </w:rPr>
        <w:t>’</w:t>
      </w:r>
      <w:r w:rsidR="006A35A8">
        <w:rPr>
          <w:lang w:val="fr-FR"/>
        </w:rPr>
        <w:t>obligation d</w:t>
      </w:r>
      <w:r w:rsidR="006A35A8" w:rsidRPr="00D50FB0">
        <w:rPr>
          <w:rStyle w:val="sb8d990e2"/>
          <w:lang w:val="fr-FR"/>
        </w:rPr>
        <w:t>e mener une enquête approfondie et effective</w:t>
      </w:r>
      <w:r w:rsidR="006A35A8">
        <w:rPr>
          <w:rStyle w:val="sb8d990e2"/>
          <w:lang w:val="fr-FR"/>
        </w:rPr>
        <w:t xml:space="preserve"> </w:t>
      </w:r>
      <w:r w:rsidR="001E466A">
        <w:rPr>
          <w:lang w:val="fr-FR"/>
        </w:rPr>
        <w:t>visant</w:t>
      </w:r>
      <w:r w:rsidR="006A35A8" w:rsidRPr="00B322BF">
        <w:rPr>
          <w:lang w:val="fr-FR"/>
        </w:rPr>
        <w:t xml:space="preserve"> à l</w:t>
      </w:r>
      <w:r w:rsidR="00603708">
        <w:rPr>
          <w:lang w:val="fr-FR"/>
        </w:rPr>
        <w:t>’</w:t>
      </w:r>
      <w:r w:rsidR="006A35A8" w:rsidRPr="00B322BF">
        <w:rPr>
          <w:lang w:val="fr-FR"/>
        </w:rPr>
        <w:t xml:space="preserve">identification et à la sanction des responsables et ne </w:t>
      </w:r>
      <w:r w:rsidR="001E466A">
        <w:rPr>
          <w:lang w:val="fr-FR"/>
        </w:rPr>
        <w:t>se substitue</w:t>
      </w:r>
      <w:r w:rsidR="006A35A8" w:rsidRPr="00B322BF">
        <w:rPr>
          <w:lang w:val="fr-FR"/>
        </w:rPr>
        <w:t xml:space="preserve"> pas</w:t>
      </w:r>
      <w:r w:rsidR="001E466A">
        <w:rPr>
          <w:lang w:val="fr-FR"/>
        </w:rPr>
        <w:t xml:space="preserve"> à elle</w:t>
      </w:r>
      <w:r w:rsidR="006A35A8" w:rsidRPr="00B322BF">
        <w:rPr>
          <w:lang w:val="fr-FR"/>
        </w:rPr>
        <w:t xml:space="preserve">, </w:t>
      </w:r>
      <w:r w:rsidR="006A35A8" w:rsidRPr="000B5793">
        <w:rPr>
          <w:lang w:val="fr-FR"/>
        </w:rPr>
        <w:t>les voies de recours exclusivement indemnitaires ne peuvent pas être considérées comme effectives sur le terrain</w:t>
      </w:r>
      <w:r w:rsidR="006A35A8" w:rsidRPr="00B322BF">
        <w:rPr>
          <w:lang w:val="fr-FR"/>
        </w:rPr>
        <w:t xml:space="preserve"> de cette disposition</w:t>
      </w:r>
      <w:r w:rsidR="00B322BF">
        <w:rPr>
          <w:lang w:val="fr-FR"/>
        </w:rPr>
        <w:t xml:space="preserve"> (</w:t>
      </w:r>
      <w:r w:rsidR="00B322BF" w:rsidRPr="00AC0DAF">
        <w:rPr>
          <w:i/>
          <w:lang w:val="fr-FR"/>
        </w:rPr>
        <w:t>Sapožkovs c.</w:t>
      </w:r>
      <w:r w:rsidR="00B322BF">
        <w:rPr>
          <w:i/>
          <w:lang w:val="fr-FR"/>
        </w:rPr>
        <w:t> </w:t>
      </w:r>
      <w:r w:rsidR="00B322BF" w:rsidRPr="00D50FB0">
        <w:rPr>
          <w:i/>
          <w:lang w:val="fr-FR"/>
        </w:rPr>
        <w:t>Lettonie</w:t>
      </w:r>
      <w:r w:rsidR="00B322BF" w:rsidRPr="00D50FB0">
        <w:rPr>
          <w:lang w:val="fr-FR"/>
        </w:rPr>
        <w:t>, n</w:t>
      </w:r>
      <w:r w:rsidR="00B322BF" w:rsidRPr="00D50FB0">
        <w:rPr>
          <w:vertAlign w:val="superscript"/>
          <w:lang w:val="fr-FR"/>
        </w:rPr>
        <w:t>o</w:t>
      </w:r>
      <w:r w:rsidR="00B322BF" w:rsidRPr="00D50FB0">
        <w:rPr>
          <w:lang w:val="fr-FR"/>
        </w:rPr>
        <w:t xml:space="preserve"> 8550/03</w:t>
      </w:r>
      <w:r w:rsidR="00B322BF" w:rsidRPr="00D50FB0">
        <w:rPr>
          <w:snapToGrid w:val="0"/>
          <w:lang w:val="fr-FR"/>
        </w:rPr>
        <w:t xml:space="preserve">, §§ 54-55, </w:t>
      </w:r>
      <w:r w:rsidR="00B322BF" w:rsidRPr="00D50FB0">
        <w:rPr>
          <w:lang w:val="fr-FR"/>
        </w:rPr>
        <w:t>11</w:t>
      </w:r>
      <w:r w:rsidR="00B322BF" w:rsidRPr="00D50FB0">
        <w:rPr>
          <w:snapToGrid w:val="0"/>
          <w:lang w:val="fr-FR"/>
        </w:rPr>
        <w:t xml:space="preserve"> </w:t>
      </w:r>
      <w:r w:rsidR="00B322BF" w:rsidRPr="00D50FB0">
        <w:rPr>
          <w:lang w:val="fr-FR"/>
        </w:rPr>
        <w:t>février</w:t>
      </w:r>
      <w:r w:rsidR="00B322BF" w:rsidRPr="00D50FB0">
        <w:rPr>
          <w:snapToGrid w:val="0"/>
          <w:lang w:val="fr-FR"/>
        </w:rPr>
        <w:t xml:space="preserve"> 2014)</w:t>
      </w:r>
      <w:r w:rsidR="00B322BF" w:rsidRPr="00D50FB0">
        <w:rPr>
          <w:lang w:val="fr-FR"/>
        </w:rPr>
        <w:t>.</w:t>
      </w:r>
    </w:p>
    <w:p w:rsidR="004809B5" w:rsidRDefault="004809B5" w:rsidP="004809B5">
      <w:pPr>
        <w:pStyle w:val="ECHRPara"/>
        <w:rPr>
          <w:lang w:val="fr-FR"/>
        </w:rPr>
      </w:pPr>
      <w:r>
        <w:rPr>
          <w:lang w:val="fr-FR"/>
        </w:rPr>
        <w:fldChar w:fldCharType="begin"/>
      </w:r>
      <w:r w:rsidRPr="004D697D">
        <w:rPr>
          <w:lang w:val="fr-FR"/>
        </w:rPr>
        <w:instrText xml:space="preserve"> SEQ level0 \*arabic </w:instrText>
      </w:r>
      <w:r>
        <w:rPr>
          <w:lang w:val="fr-FR"/>
        </w:rPr>
        <w:fldChar w:fldCharType="separate"/>
      </w:r>
      <w:r w:rsidR="00B378F9">
        <w:rPr>
          <w:noProof/>
          <w:lang w:val="fr-FR"/>
        </w:rPr>
        <w:t>233</w:t>
      </w:r>
      <w:r>
        <w:rPr>
          <w:lang w:val="fr-FR"/>
        </w:rPr>
        <w:fldChar w:fldCharType="end"/>
      </w:r>
      <w:r w:rsidRPr="004D697D">
        <w:rPr>
          <w:lang w:val="fr-FR"/>
        </w:rPr>
        <w:t>.</w:t>
      </w:r>
      <w:r w:rsidR="002C628E">
        <w:rPr>
          <w:szCs w:val="24"/>
          <w:lang w:val="fr-FR"/>
        </w:rPr>
        <w:t>  </w:t>
      </w:r>
      <w:r w:rsidRPr="00E437EC">
        <w:rPr>
          <w:lang w:val="fr-FR"/>
        </w:rPr>
        <w:t>La</w:t>
      </w:r>
      <w:r>
        <w:rPr>
          <w:lang w:val="fr-FR"/>
        </w:rPr>
        <w:t xml:space="preserve"> Cour rappelle </w:t>
      </w:r>
      <w:r>
        <w:rPr>
          <w:rStyle w:val="sb8d990e2"/>
          <w:lang w:val="fr-FR"/>
        </w:rPr>
        <w:t xml:space="preserve">que, </w:t>
      </w:r>
      <w:r w:rsidRPr="00D52805">
        <w:rPr>
          <w:rStyle w:val="sb8d990e2"/>
          <w:lang w:val="fr-FR"/>
        </w:rPr>
        <w:t>lorsqu</w:t>
      </w:r>
      <w:r w:rsidR="00603708">
        <w:rPr>
          <w:rStyle w:val="sb8d990e2"/>
          <w:lang w:val="fr-FR"/>
        </w:rPr>
        <w:t>’</w:t>
      </w:r>
      <w:r w:rsidRPr="00D52805">
        <w:rPr>
          <w:rStyle w:val="sb8d990e2"/>
          <w:lang w:val="fr-FR"/>
        </w:rPr>
        <w:t>une voie de recours a été utilisée, l</w:t>
      </w:r>
      <w:r w:rsidR="00603708">
        <w:rPr>
          <w:rStyle w:val="sb8d990e2"/>
          <w:lang w:val="fr-FR"/>
        </w:rPr>
        <w:t>’</w:t>
      </w:r>
      <w:r w:rsidRPr="00D52805">
        <w:rPr>
          <w:rStyle w:val="sb8d990e2"/>
          <w:lang w:val="fr-FR"/>
        </w:rPr>
        <w:t>usage d</w:t>
      </w:r>
      <w:r w:rsidR="00603708">
        <w:rPr>
          <w:rStyle w:val="sb8d990e2"/>
          <w:lang w:val="fr-FR"/>
        </w:rPr>
        <w:t>’</w:t>
      </w:r>
      <w:r w:rsidRPr="00D52805">
        <w:rPr>
          <w:rStyle w:val="sb8d990e2"/>
          <w:lang w:val="fr-FR"/>
        </w:rPr>
        <w:t>une autre voie dont le but est pratiquement le même n</w:t>
      </w:r>
      <w:r w:rsidR="00603708">
        <w:rPr>
          <w:rStyle w:val="sb8d990e2"/>
          <w:lang w:val="fr-FR"/>
        </w:rPr>
        <w:t>’</w:t>
      </w:r>
      <w:r w:rsidRPr="00D52805">
        <w:rPr>
          <w:rStyle w:val="sb8d990e2"/>
          <w:lang w:val="fr-FR"/>
        </w:rPr>
        <w:t>est pas exigé</w:t>
      </w:r>
      <w:r>
        <w:rPr>
          <w:rStyle w:val="sb8d990e2"/>
          <w:lang w:val="fr-FR"/>
        </w:rPr>
        <w:t xml:space="preserve"> (</w:t>
      </w:r>
      <w:r w:rsidRPr="002613BB">
        <w:rPr>
          <w:i/>
          <w:lang w:val="fr-FR"/>
        </w:rPr>
        <w:t>Kozacıoğlu</w:t>
      </w:r>
      <w:r w:rsidRPr="002613BB">
        <w:rPr>
          <w:lang w:val="fr-FR"/>
        </w:rPr>
        <w:t>, précité, §§ 40-43</w:t>
      </w:r>
      <w:r>
        <w:rPr>
          <w:lang w:val="fr-FR"/>
        </w:rPr>
        <w:t>,</w:t>
      </w:r>
      <w:r w:rsidRPr="002613BB">
        <w:rPr>
          <w:lang w:val="fr-FR"/>
        </w:rPr>
        <w:t xml:space="preserve"> </w:t>
      </w:r>
      <w:r w:rsidRPr="002613BB">
        <w:rPr>
          <w:rStyle w:val="wordhighlighted"/>
          <w:i/>
          <w:lang w:val="fr-FR"/>
        </w:rPr>
        <w:t>Karakó</w:t>
      </w:r>
      <w:r w:rsidRPr="002613BB">
        <w:rPr>
          <w:rStyle w:val="sb8d990e2"/>
          <w:i/>
          <w:lang w:val="fr-FR"/>
        </w:rPr>
        <w:t xml:space="preserve"> c. </w:t>
      </w:r>
      <w:r w:rsidRPr="00E72DE2">
        <w:rPr>
          <w:rStyle w:val="sb8d990e2"/>
          <w:i/>
          <w:lang w:val="fr-FR"/>
        </w:rPr>
        <w:t>Hongrie</w:t>
      </w:r>
      <w:r w:rsidRPr="00E72DE2">
        <w:rPr>
          <w:rStyle w:val="sb8d990e2"/>
          <w:lang w:val="fr-FR"/>
        </w:rPr>
        <w:t>, n</w:t>
      </w:r>
      <w:r w:rsidRPr="00E72DE2">
        <w:rPr>
          <w:rStyle w:val="sb8d990e2"/>
          <w:vertAlign w:val="superscript"/>
          <w:lang w:val="fr-FR"/>
        </w:rPr>
        <w:t>o</w:t>
      </w:r>
      <w:r w:rsidRPr="00E72DE2">
        <w:rPr>
          <w:rStyle w:val="sb8d990e2"/>
          <w:lang w:val="fr-FR"/>
        </w:rPr>
        <w:t xml:space="preserve"> </w:t>
      </w:r>
      <w:r w:rsidRPr="00E72DE2">
        <w:rPr>
          <w:rStyle w:val="s6b621b36"/>
          <w:lang w:val="fr-FR"/>
        </w:rPr>
        <w:t>39311/05, § 14, 28 avril 2009</w:t>
      </w:r>
      <w:r>
        <w:rPr>
          <w:rStyle w:val="s6b621b36"/>
          <w:lang w:val="fr-FR"/>
        </w:rPr>
        <w:t>, et</w:t>
      </w:r>
      <w:r>
        <w:rPr>
          <w:rStyle w:val="sb8d990e2"/>
          <w:lang w:val="fr-FR"/>
        </w:rPr>
        <w:t xml:space="preserve"> </w:t>
      </w:r>
      <w:r w:rsidRPr="00E72DE2">
        <w:rPr>
          <w:i/>
          <w:lang w:val="fr-FR"/>
        </w:rPr>
        <w:t>Jasinskis c. Lettonie</w:t>
      </w:r>
      <w:r w:rsidRPr="00E72DE2">
        <w:rPr>
          <w:lang w:val="fr-FR"/>
        </w:rPr>
        <w:t>, n</w:t>
      </w:r>
      <w:r w:rsidRPr="00E72DE2">
        <w:rPr>
          <w:vertAlign w:val="superscript"/>
          <w:lang w:val="fr-FR"/>
        </w:rPr>
        <w:t>o</w:t>
      </w:r>
      <w:r w:rsidRPr="00E72DE2">
        <w:rPr>
          <w:lang w:val="fr-FR"/>
        </w:rPr>
        <w:t xml:space="preserve"> 45744/08, §§</w:t>
      </w:r>
      <w:r>
        <w:rPr>
          <w:lang w:val="fr-FR"/>
        </w:rPr>
        <w:t> </w:t>
      </w:r>
      <w:r w:rsidRPr="00E72DE2">
        <w:rPr>
          <w:lang w:val="fr-FR"/>
        </w:rPr>
        <w:t>50-55, 21</w:t>
      </w:r>
      <w:r w:rsidR="0041023D">
        <w:rPr>
          <w:lang w:val="fr-FR"/>
        </w:rPr>
        <w:t> </w:t>
      </w:r>
      <w:r w:rsidRPr="00E72DE2">
        <w:rPr>
          <w:lang w:val="fr-FR"/>
        </w:rPr>
        <w:t>décembre</w:t>
      </w:r>
      <w:r w:rsidR="008A634B">
        <w:rPr>
          <w:lang w:val="fr-FR"/>
        </w:rPr>
        <w:t> </w:t>
      </w:r>
      <w:r w:rsidRPr="00E72DE2">
        <w:rPr>
          <w:lang w:val="fr-FR"/>
        </w:rPr>
        <w:t>2010</w:t>
      </w:r>
      <w:r>
        <w:rPr>
          <w:lang w:val="fr-FR"/>
        </w:rPr>
        <w:t>).</w:t>
      </w:r>
    </w:p>
    <w:p w:rsidR="004809B5" w:rsidRDefault="004809B5" w:rsidP="004809B5">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234</w:t>
      </w:r>
      <w:r>
        <w:rPr>
          <w:lang w:val="fr-FR"/>
        </w:rPr>
        <w:fldChar w:fldCharType="end"/>
      </w:r>
      <w:r>
        <w:rPr>
          <w:lang w:val="fr-FR"/>
        </w:rPr>
        <w:t>.</w:t>
      </w:r>
      <w:r w:rsidR="002C628E">
        <w:rPr>
          <w:szCs w:val="24"/>
          <w:lang w:val="fr-FR"/>
        </w:rPr>
        <w:t>  </w:t>
      </w:r>
      <w:r>
        <w:rPr>
          <w:lang w:val="fr-FR"/>
        </w:rPr>
        <w:t>Elle observe qu</w:t>
      </w:r>
      <w:r w:rsidR="00603708">
        <w:rPr>
          <w:lang w:val="fr-FR"/>
        </w:rPr>
        <w:t>’</w:t>
      </w:r>
      <w:r>
        <w:rPr>
          <w:lang w:val="fr-FR"/>
        </w:rPr>
        <w:t>en l</w:t>
      </w:r>
      <w:r w:rsidR="00603708">
        <w:rPr>
          <w:lang w:val="fr-FR"/>
        </w:rPr>
        <w:t>’</w:t>
      </w:r>
      <w:r>
        <w:rPr>
          <w:lang w:val="fr-FR"/>
        </w:rPr>
        <w:t>espèce, le requérant s</w:t>
      </w:r>
      <w:r w:rsidR="00603708">
        <w:rPr>
          <w:lang w:val="fr-FR"/>
        </w:rPr>
        <w:t>’</w:t>
      </w:r>
      <w:r>
        <w:rPr>
          <w:lang w:val="fr-FR"/>
        </w:rPr>
        <w:t xml:space="preserve">est bien prévalu de la voie de recours civile en se constituant partie civile dans la procédure pénale en juillet 2004 </w:t>
      </w:r>
      <w:r>
        <w:rPr>
          <w:color w:val="000000"/>
          <w:szCs w:val="24"/>
          <w:lang w:val="fr-FR"/>
        </w:rPr>
        <w:t>dans le but d</w:t>
      </w:r>
      <w:r w:rsidR="00603708">
        <w:rPr>
          <w:color w:val="000000"/>
          <w:szCs w:val="24"/>
          <w:lang w:val="fr-FR"/>
        </w:rPr>
        <w:t>’</w:t>
      </w:r>
      <w:r>
        <w:rPr>
          <w:color w:val="000000"/>
          <w:szCs w:val="24"/>
          <w:lang w:val="fr-FR"/>
        </w:rPr>
        <w:t>obtenir la réparation du préjudice souffert</w:t>
      </w:r>
      <w:r>
        <w:rPr>
          <w:lang w:val="fr-FR"/>
        </w:rPr>
        <w:t xml:space="preserve"> (</w:t>
      </w:r>
      <w:r w:rsidRPr="00AC0DAF">
        <w:rPr>
          <w:color w:val="000000"/>
          <w:szCs w:val="24"/>
          <w:lang w:val="fr-FR"/>
        </w:rPr>
        <w:t>paragraphes 46 ci-dessus</w:t>
      </w:r>
      <w:r>
        <w:rPr>
          <w:color w:val="000000"/>
          <w:szCs w:val="24"/>
          <w:lang w:val="fr-FR"/>
        </w:rPr>
        <w:t xml:space="preserve"> ; </w:t>
      </w:r>
      <w:r w:rsidRPr="00AC0DAF">
        <w:rPr>
          <w:color w:val="000000"/>
          <w:szCs w:val="24"/>
          <w:lang w:val="fr-FR"/>
        </w:rPr>
        <w:t>voir également</w:t>
      </w:r>
      <w:r w:rsidRPr="00AC0DAF">
        <w:rPr>
          <w:i/>
          <w:noProof/>
          <w:szCs w:val="24"/>
          <w:lang w:val="fr-FR"/>
        </w:rPr>
        <w:t xml:space="preserve"> Calvelli et Ciglio</w:t>
      </w:r>
      <w:r w:rsidRPr="00AC0DAF">
        <w:rPr>
          <w:noProof/>
          <w:szCs w:val="24"/>
          <w:lang w:val="fr-FR"/>
        </w:rPr>
        <w:t>, n</w:t>
      </w:r>
      <w:r w:rsidRPr="0032468C">
        <w:rPr>
          <w:noProof/>
          <w:szCs w:val="24"/>
          <w:vertAlign w:val="superscript"/>
          <w:lang w:val="fr-FR"/>
        </w:rPr>
        <w:t>o</w:t>
      </w:r>
      <w:r w:rsidRPr="00AC0DAF">
        <w:rPr>
          <w:noProof/>
          <w:szCs w:val="24"/>
          <w:lang w:val="fr-FR"/>
        </w:rPr>
        <w:t xml:space="preserve"> 32967/96, § 62, CEDH </w:t>
      </w:r>
      <w:r w:rsidRPr="00AC0DAF">
        <w:rPr>
          <w:color w:val="000000"/>
          <w:szCs w:val="24"/>
          <w:lang w:val="fr-FR"/>
        </w:rPr>
        <w:t>2002-I</w:t>
      </w:r>
      <w:r>
        <w:rPr>
          <w:color w:val="000000"/>
          <w:szCs w:val="24"/>
          <w:lang w:val="fr-FR"/>
        </w:rPr>
        <w:t xml:space="preserve">). </w:t>
      </w:r>
      <w:r>
        <w:rPr>
          <w:lang w:val="fr-FR"/>
        </w:rPr>
        <w:t>Il a ainsi participé à la procédure pénale à tous les degrés de juridiction (</w:t>
      </w:r>
      <w:r w:rsidRPr="00AC0DAF">
        <w:rPr>
          <w:lang w:val="fr-FR"/>
        </w:rPr>
        <w:t>paragraphes 59 et 75 ci-dessus</w:t>
      </w:r>
      <w:r>
        <w:rPr>
          <w:lang w:val="fr-FR"/>
        </w:rPr>
        <w:t>) et jusqu</w:t>
      </w:r>
      <w:r w:rsidR="00603708">
        <w:rPr>
          <w:lang w:val="fr-FR"/>
        </w:rPr>
        <w:t>’</w:t>
      </w:r>
      <w:r>
        <w:rPr>
          <w:lang w:val="fr-FR"/>
        </w:rPr>
        <w:t>à l</w:t>
      </w:r>
      <w:r w:rsidR="00603708">
        <w:rPr>
          <w:lang w:val="fr-FR"/>
        </w:rPr>
        <w:t>’</w:t>
      </w:r>
      <w:r>
        <w:rPr>
          <w:lang w:val="fr-FR"/>
        </w:rPr>
        <w:t>arrêt de la Cour de cassation dépos</w:t>
      </w:r>
      <w:r w:rsidR="0077380D">
        <w:rPr>
          <w:lang w:val="fr-FR"/>
        </w:rPr>
        <w:t>é au greffe le 2 octobre 2012.</w:t>
      </w:r>
    </w:p>
    <w:p w:rsidR="004809B5" w:rsidRDefault="004809B5" w:rsidP="004809B5">
      <w:pPr>
        <w:pStyle w:val="ECHRPara"/>
        <w:rPr>
          <w:lang w:val="fr-FR"/>
        </w:rPr>
      </w:pPr>
      <w:r>
        <w:rPr>
          <w:lang w:val="fr-FR"/>
        </w:rPr>
        <w:t>Dans ces circonstances, p</w:t>
      </w:r>
      <w:r w:rsidRPr="00FB3067">
        <w:rPr>
          <w:lang w:val="fr-FR"/>
        </w:rPr>
        <w:t>rétendre qu</w:t>
      </w:r>
      <w:r w:rsidR="00603708">
        <w:rPr>
          <w:lang w:val="fr-FR"/>
        </w:rPr>
        <w:t>’</w:t>
      </w:r>
      <w:r w:rsidRPr="00FB3067">
        <w:rPr>
          <w:lang w:val="fr-FR"/>
        </w:rPr>
        <w:t xml:space="preserve">aux fins du respect de la règle de </w:t>
      </w:r>
      <w:r w:rsidRPr="008E00A0">
        <w:rPr>
          <w:lang w:val="fr-FR"/>
        </w:rPr>
        <w:t>l</w:t>
      </w:r>
      <w:r w:rsidR="00603708">
        <w:rPr>
          <w:lang w:val="fr-FR"/>
        </w:rPr>
        <w:t>’</w:t>
      </w:r>
      <w:r w:rsidRPr="008E00A0">
        <w:rPr>
          <w:lang w:val="fr-FR"/>
        </w:rPr>
        <w:t>épuisement des voies de recours internes</w:t>
      </w:r>
      <w:r>
        <w:rPr>
          <w:lang w:val="fr-FR"/>
        </w:rPr>
        <w:t>,</w:t>
      </w:r>
      <w:r w:rsidRPr="008E00A0">
        <w:rPr>
          <w:lang w:val="fr-FR"/>
        </w:rPr>
        <w:t xml:space="preserve"> le requérant aurait dû entamer une procédure civile ultérieure constituerait un fardeau excessif pour la victime d</w:t>
      </w:r>
      <w:r w:rsidR="00603708">
        <w:rPr>
          <w:lang w:val="fr-FR"/>
        </w:rPr>
        <w:t>’</w:t>
      </w:r>
      <w:r w:rsidRPr="008E00A0">
        <w:rPr>
          <w:lang w:val="fr-FR"/>
        </w:rPr>
        <w:t>une violation de l</w:t>
      </w:r>
      <w:r w:rsidR="00603708">
        <w:rPr>
          <w:lang w:val="fr-FR"/>
        </w:rPr>
        <w:t>’</w:t>
      </w:r>
      <w:r w:rsidRPr="008E00A0">
        <w:rPr>
          <w:lang w:val="fr-FR"/>
        </w:rPr>
        <w:t xml:space="preserve">article 3 (voir, </w:t>
      </w:r>
      <w:r w:rsidRPr="008E00A0">
        <w:rPr>
          <w:i/>
          <w:lang w:val="fr-FR"/>
        </w:rPr>
        <w:t>mutatis mutandis</w:t>
      </w:r>
      <w:r w:rsidRPr="008E00A0">
        <w:rPr>
          <w:lang w:val="fr-FR"/>
        </w:rPr>
        <w:t xml:space="preserve">, </w:t>
      </w:r>
      <w:r w:rsidRPr="008E00A0">
        <w:rPr>
          <w:i/>
          <w:lang w:val="fr-FR"/>
        </w:rPr>
        <w:t>Saba</w:t>
      </w:r>
      <w:r w:rsidRPr="008E00A0">
        <w:rPr>
          <w:lang w:val="fr-FR"/>
        </w:rPr>
        <w:t>, précité,</w:t>
      </w:r>
      <w:r w:rsidRPr="00FB3067">
        <w:rPr>
          <w:lang w:val="fr-FR"/>
        </w:rPr>
        <w:t xml:space="preserve"> § 47).</w:t>
      </w:r>
    </w:p>
    <w:p w:rsidR="0032468C" w:rsidRDefault="00D8139C" w:rsidP="00D41933">
      <w:pPr>
        <w:pStyle w:val="ECHRPara"/>
        <w:rPr>
          <w:szCs w:val="24"/>
          <w:lang w:val="fr-FR"/>
        </w:rPr>
      </w:pPr>
      <w:r w:rsidRPr="00D8139C">
        <w:rPr>
          <w:szCs w:val="24"/>
          <w:lang w:val="fr-FR"/>
        </w:rPr>
        <w:fldChar w:fldCharType="begin"/>
      </w:r>
      <w:r w:rsidRPr="00D8139C">
        <w:rPr>
          <w:szCs w:val="24"/>
          <w:lang w:val="fr-FR"/>
        </w:rPr>
        <w:instrText xml:space="preserve"> SEQ level0 \*arabic </w:instrText>
      </w:r>
      <w:r w:rsidRPr="00D8139C">
        <w:rPr>
          <w:szCs w:val="24"/>
          <w:lang w:val="fr-FR"/>
        </w:rPr>
        <w:fldChar w:fldCharType="separate"/>
      </w:r>
      <w:r w:rsidR="00B378F9">
        <w:rPr>
          <w:noProof/>
          <w:szCs w:val="24"/>
          <w:lang w:val="fr-FR"/>
        </w:rPr>
        <w:t>235</w:t>
      </w:r>
      <w:r w:rsidRPr="00D8139C">
        <w:rPr>
          <w:szCs w:val="24"/>
          <w:lang w:val="fr-FR"/>
        </w:rPr>
        <w:fldChar w:fldCharType="end"/>
      </w:r>
      <w:r w:rsidRPr="00D8139C">
        <w:rPr>
          <w:szCs w:val="24"/>
          <w:lang w:val="fr-FR"/>
        </w:rPr>
        <w:t>.</w:t>
      </w:r>
      <w:r w:rsidR="005D48D7">
        <w:rPr>
          <w:szCs w:val="24"/>
          <w:lang w:val="fr-FR"/>
        </w:rPr>
        <w:t xml:space="preserve"> </w:t>
      </w:r>
      <w:r w:rsidR="001E466A">
        <w:rPr>
          <w:szCs w:val="24"/>
          <w:lang w:val="fr-FR"/>
        </w:rPr>
        <w:t>Se fondant sur</w:t>
      </w:r>
      <w:r w:rsidR="007825F1">
        <w:rPr>
          <w:szCs w:val="24"/>
          <w:lang w:val="fr-FR"/>
        </w:rPr>
        <w:t xml:space="preserve"> </w:t>
      </w:r>
      <w:r w:rsidR="00DC44FA" w:rsidRPr="005D48D7">
        <w:rPr>
          <w:szCs w:val="24"/>
          <w:lang w:val="fr-FR"/>
        </w:rPr>
        <w:t>sa</w:t>
      </w:r>
      <w:r>
        <w:rPr>
          <w:szCs w:val="24"/>
          <w:lang w:val="fr-FR"/>
        </w:rPr>
        <w:t xml:space="preserve"> jurisprudence et </w:t>
      </w:r>
      <w:r w:rsidR="001E466A">
        <w:rPr>
          <w:szCs w:val="24"/>
          <w:lang w:val="fr-FR"/>
        </w:rPr>
        <w:t>sur l</w:t>
      </w:r>
      <w:r>
        <w:rPr>
          <w:szCs w:val="24"/>
          <w:lang w:val="fr-FR"/>
        </w:rPr>
        <w:t xml:space="preserve">es constats formulés en </w:t>
      </w:r>
      <w:r w:rsidRPr="008D3288">
        <w:rPr>
          <w:szCs w:val="24"/>
          <w:lang w:val="fr-FR"/>
        </w:rPr>
        <w:t>l</w:t>
      </w:r>
      <w:r w:rsidR="00603708">
        <w:rPr>
          <w:szCs w:val="24"/>
          <w:lang w:val="fr-FR"/>
        </w:rPr>
        <w:t>’</w:t>
      </w:r>
      <w:r w:rsidRPr="008D3288">
        <w:rPr>
          <w:szCs w:val="24"/>
          <w:lang w:val="fr-FR"/>
        </w:rPr>
        <w:t xml:space="preserve">espèce </w:t>
      </w:r>
      <w:r w:rsidR="001E466A" w:rsidRPr="008D3288">
        <w:rPr>
          <w:szCs w:val="24"/>
          <w:lang w:val="fr-FR"/>
        </w:rPr>
        <w:t>relativement aux</w:t>
      </w:r>
      <w:r w:rsidRPr="008D3288">
        <w:rPr>
          <w:szCs w:val="24"/>
          <w:lang w:val="fr-FR"/>
        </w:rPr>
        <w:t xml:space="preserve"> défaillances de l</w:t>
      </w:r>
      <w:r w:rsidR="00603708">
        <w:rPr>
          <w:szCs w:val="24"/>
          <w:lang w:val="fr-FR"/>
        </w:rPr>
        <w:t>’</w:t>
      </w:r>
      <w:r w:rsidRPr="008D3288">
        <w:rPr>
          <w:szCs w:val="24"/>
          <w:lang w:val="fr-FR"/>
        </w:rPr>
        <w:t xml:space="preserve">enquête </w:t>
      </w:r>
      <w:r w:rsidR="001E466A" w:rsidRPr="008D3288">
        <w:rPr>
          <w:szCs w:val="24"/>
          <w:lang w:val="fr-FR"/>
        </w:rPr>
        <w:t>concernant les</w:t>
      </w:r>
      <w:r w:rsidR="00B47740" w:rsidRPr="008D3288">
        <w:rPr>
          <w:szCs w:val="24"/>
          <w:lang w:val="fr-FR"/>
        </w:rPr>
        <w:t xml:space="preserve"> mauvais traitements dont le requérant a été victime, la Cour ne </w:t>
      </w:r>
      <w:r w:rsidR="00AE3736" w:rsidRPr="008D3288">
        <w:rPr>
          <w:szCs w:val="24"/>
          <w:lang w:val="fr-FR"/>
        </w:rPr>
        <w:t>peut</w:t>
      </w:r>
      <w:r w:rsidR="00B47740" w:rsidRPr="008D3288">
        <w:rPr>
          <w:szCs w:val="24"/>
          <w:lang w:val="fr-FR"/>
        </w:rPr>
        <w:t xml:space="preserve"> </w:t>
      </w:r>
      <w:r w:rsidR="00D41933" w:rsidRPr="008D3288">
        <w:rPr>
          <w:szCs w:val="24"/>
          <w:lang w:val="fr-FR"/>
        </w:rPr>
        <w:t>que rejeter le</w:t>
      </w:r>
      <w:r w:rsidR="00D943E5" w:rsidRPr="008D3288">
        <w:rPr>
          <w:szCs w:val="24"/>
          <w:lang w:val="fr-FR"/>
        </w:rPr>
        <w:t>s deux exceptions préliminaires du Gouvernement défendeur qu</w:t>
      </w:r>
      <w:r w:rsidR="00603708">
        <w:rPr>
          <w:szCs w:val="24"/>
          <w:lang w:val="fr-FR"/>
        </w:rPr>
        <w:t>’</w:t>
      </w:r>
      <w:r w:rsidR="00D943E5" w:rsidRPr="008D3288">
        <w:rPr>
          <w:szCs w:val="24"/>
          <w:lang w:val="fr-FR"/>
        </w:rPr>
        <w:t>elle a joint</w:t>
      </w:r>
      <w:r w:rsidR="008D3288">
        <w:rPr>
          <w:szCs w:val="24"/>
          <w:lang w:val="fr-FR"/>
        </w:rPr>
        <w:t>e</w:t>
      </w:r>
      <w:r w:rsidR="00911899" w:rsidRPr="008D3288">
        <w:rPr>
          <w:szCs w:val="24"/>
          <w:lang w:val="fr-FR"/>
        </w:rPr>
        <w:t>s</w:t>
      </w:r>
      <w:r w:rsidR="00D943E5" w:rsidRPr="008D3288">
        <w:rPr>
          <w:szCs w:val="24"/>
          <w:lang w:val="fr-FR"/>
        </w:rPr>
        <w:t xml:space="preserve"> au fond.</w:t>
      </w:r>
    </w:p>
    <w:p w:rsidR="008F7D62" w:rsidRPr="00D774FF" w:rsidRDefault="008F7D62">
      <w:pPr>
        <w:pStyle w:val="ECHRHeading5"/>
        <w:rPr>
          <w:lang w:val="fr-FR"/>
        </w:rPr>
      </w:pPr>
      <w:r w:rsidRPr="00D774FF">
        <w:rPr>
          <w:lang w:val="fr-FR"/>
        </w:rPr>
        <w:t>iv.</w:t>
      </w:r>
      <w:r w:rsidR="00371240">
        <w:rPr>
          <w:lang w:val="fr-FR"/>
        </w:rPr>
        <w:t>  </w:t>
      </w:r>
      <w:r w:rsidRPr="00D774FF">
        <w:rPr>
          <w:lang w:val="fr-FR"/>
        </w:rPr>
        <w:t>Conclusion</w:t>
      </w:r>
    </w:p>
    <w:p w:rsidR="008F7D62" w:rsidRDefault="007F5F3A" w:rsidP="007F5F3A">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236</w:t>
      </w:r>
      <w:r>
        <w:rPr>
          <w:lang w:val="fr-FR"/>
        </w:rPr>
        <w:fldChar w:fldCharType="end"/>
      </w:r>
      <w:r>
        <w:rPr>
          <w:lang w:val="fr-FR"/>
        </w:rPr>
        <w:t>.  La Cour conclu</w:t>
      </w:r>
      <w:r w:rsidR="00011B44">
        <w:rPr>
          <w:lang w:val="fr-FR"/>
        </w:rPr>
        <w:t>t</w:t>
      </w:r>
      <w:r>
        <w:rPr>
          <w:lang w:val="fr-FR"/>
        </w:rPr>
        <w:t xml:space="preserve"> </w:t>
      </w:r>
      <w:r w:rsidR="00011B44">
        <w:rPr>
          <w:lang w:val="fr-FR"/>
        </w:rPr>
        <w:t>à la</w:t>
      </w:r>
      <w:r>
        <w:rPr>
          <w:lang w:val="fr-FR"/>
        </w:rPr>
        <w:t xml:space="preserve"> violation de l</w:t>
      </w:r>
      <w:r w:rsidR="00603708">
        <w:rPr>
          <w:lang w:val="fr-FR"/>
        </w:rPr>
        <w:t>’</w:t>
      </w:r>
      <w:r>
        <w:rPr>
          <w:lang w:val="fr-FR"/>
        </w:rPr>
        <w:t>article 3 de la Convention</w:t>
      </w:r>
      <w:r w:rsidR="000C6333">
        <w:rPr>
          <w:lang w:val="fr-FR"/>
        </w:rPr>
        <w:t xml:space="preserve"> – à</w:t>
      </w:r>
      <w:r w:rsidR="00B04F75">
        <w:rPr>
          <w:lang w:val="fr-FR"/>
        </w:rPr>
        <w:t> </w:t>
      </w:r>
      <w:r w:rsidR="000C6333">
        <w:rPr>
          <w:lang w:val="fr-FR"/>
        </w:rPr>
        <w:t>cause de mauvais traitements subis par le requérant qui doivent être qualifiés de « torture » au sens de cette disposition -</w:t>
      </w:r>
      <w:r>
        <w:rPr>
          <w:lang w:val="fr-FR"/>
        </w:rPr>
        <w:t xml:space="preserve"> dans s</w:t>
      </w:r>
      <w:r w:rsidR="00371240">
        <w:rPr>
          <w:lang w:val="fr-FR"/>
        </w:rPr>
        <w:t>es</w:t>
      </w:r>
      <w:r>
        <w:rPr>
          <w:lang w:val="fr-FR"/>
        </w:rPr>
        <w:t xml:space="preserve"> volet</w:t>
      </w:r>
      <w:r w:rsidR="00371240">
        <w:rPr>
          <w:lang w:val="fr-FR"/>
        </w:rPr>
        <w:t>s tant</w:t>
      </w:r>
      <w:r>
        <w:rPr>
          <w:lang w:val="fr-FR"/>
        </w:rPr>
        <w:t xml:space="preserve"> matériel </w:t>
      </w:r>
      <w:r w:rsidR="00371240">
        <w:rPr>
          <w:lang w:val="fr-FR"/>
        </w:rPr>
        <w:t>que</w:t>
      </w:r>
      <w:r>
        <w:rPr>
          <w:lang w:val="fr-FR"/>
        </w:rPr>
        <w:t xml:space="preserve"> procédural. Dans ces circonstances, </w:t>
      </w:r>
      <w:r w:rsidR="00AB20F9">
        <w:rPr>
          <w:lang w:val="fr-FR"/>
        </w:rPr>
        <w:t xml:space="preserve">elle estime </w:t>
      </w:r>
      <w:r>
        <w:rPr>
          <w:lang w:val="fr-FR"/>
        </w:rPr>
        <w:t>qu</w:t>
      </w:r>
      <w:r w:rsidR="00603708">
        <w:rPr>
          <w:lang w:val="fr-FR"/>
        </w:rPr>
        <w:t>’</w:t>
      </w:r>
      <w:r w:rsidRPr="007F5F3A">
        <w:rPr>
          <w:lang w:val="fr-FR"/>
        </w:rPr>
        <w:t xml:space="preserve">il </w:t>
      </w:r>
      <w:r>
        <w:rPr>
          <w:lang w:val="fr-FR"/>
        </w:rPr>
        <w:t>échet</w:t>
      </w:r>
      <w:r w:rsidRPr="007F5F3A">
        <w:rPr>
          <w:lang w:val="fr-FR"/>
        </w:rPr>
        <w:t xml:space="preserve"> de rejeter </w:t>
      </w:r>
      <w:r w:rsidR="00011B44">
        <w:rPr>
          <w:lang w:val="fr-FR"/>
        </w:rPr>
        <w:t xml:space="preserve">tant </w:t>
      </w:r>
      <w:r w:rsidRPr="007F5F3A">
        <w:rPr>
          <w:lang w:val="fr-FR"/>
        </w:rPr>
        <w:t>l</w:t>
      </w:r>
      <w:r w:rsidR="00603708">
        <w:rPr>
          <w:lang w:val="fr-FR"/>
        </w:rPr>
        <w:t>’</w:t>
      </w:r>
      <w:r w:rsidRPr="007F5F3A">
        <w:rPr>
          <w:lang w:val="fr-FR"/>
        </w:rPr>
        <w:t>exception préliminaire du Gouvernement tirée de la perte de la qualité de victime (</w:t>
      </w:r>
      <w:r w:rsidRPr="00AC0DAF">
        <w:rPr>
          <w:lang w:val="fr-FR"/>
        </w:rPr>
        <w:t>paragraphe</w:t>
      </w:r>
      <w:r w:rsidR="002613BB" w:rsidRPr="00AC0DAF">
        <w:rPr>
          <w:lang w:val="fr-FR"/>
        </w:rPr>
        <w:t>s</w:t>
      </w:r>
      <w:r w:rsidRPr="00AC0DAF">
        <w:rPr>
          <w:lang w:val="fr-FR"/>
        </w:rPr>
        <w:t xml:space="preserve"> 131 </w:t>
      </w:r>
      <w:r w:rsidR="002613BB" w:rsidRPr="00AC0DAF">
        <w:rPr>
          <w:lang w:val="fr-FR"/>
        </w:rPr>
        <w:t>et suiv</w:t>
      </w:r>
      <w:r w:rsidR="00011B44">
        <w:rPr>
          <w:lang w:val="fr-FR"/>
        </w:rPr>
        <w:t>ants</w:t>
      </w:r>
      <w:r w:rsidR="002613BB" w:rsidRPr="00AC0DAF">
        <w:rPr>
          <w:lang w:val="fr-FR"/>
        </w:rPr>
        <w:t xml:space="preserve"> </w:t>
      </w:r>
      <w:r w:rsidRPr="00AC0DAF">
        <w:rPr>
          <w:lang w:val="fr-FR"/>
        </w:rPr>
        <w:t>ci-dessus</w:t>
      </w:r>
      <w:r w:rsidRPr="007F5F3A">
        <w:rPr>
          <w:lang w:val="fr-FR"/>
        </w:rPr>
        <w:t>)</w:t>
      </w:r>
      <w:r>
        <w:rPr>
          <w:lang w:val="fr-FR"/>
        </w:rPr>
        <w:t xml:space="preserve"> </w:t>
      </w:r>
      <w:r w:rsidR="00011B44">
        <w:rPr>
          <w:lang w:val="fr-FR"/>
        </w:rPr>
        <w:t xml:space="preserve">que </w:t>
      </w:r>
      <w:r>
        <w:rPr>
          <w:lang w:val="fr-FR"/>
        </w:rPr>
        <w:t>l</w:t>
      </w:r>
      <w:r w:rsidR="00603708">
        <w:rPr>
          <w:lang w:val="fr-FR"/>
        </w:rPr>
        <w:t>’</w:t>
      </w:r>
      <w:r>
        <w:rPr>
          <w:lang w:val="fr-FR"/>
        </w:rPr>
        <w:t xml:space="preserve">exception </w:t>
      </w:r>
      <w:r w:rsidR="001F797F">
        <w:rPr>
          <w:lang w:val="fr-FR"/>
        </w:rPr>
        <w:t>préliminaire tirée du</w:t>
      </w:r>
      <w:r>
        <w:rPr>
          <w:lang w:val="fr-FR"/>
        </w:rPr>
        <w:t xml:space="preserve"> non-épuisement des voies de recours internes (</w:t>
      </w:r>
      <w:r w:rsidRPr="00AC0DAF">
        <w:rPr>
          <w:lang w:val="fr-FR"/>
        </w:rPr>
        <w:t>paragraphe</w:t>
      </w:r>
      <w:r w:rsidR="002613BB" w:rsidRPr="00AC0DAF">
        <w:rPr>
          <w:lang w:val="fr-FR"/>
        </w:rPr>
        <w:t>s</w:t>
      </w:r>
      <w:r w:rsidRPr="00AC0DAF">
        <w:rPr>
          <w:lang w:val="fr-FR"/>
        </w:rPr>
        <w:t xml:space="preserve"> 139</w:t>
      </w:r>
      <w:r w:rsidR="002613BB" w:rsidRPr="00AC0DAF">
        <w:rPr>
          <w:lang w:val="fr-FR"/>
        </w:rPr>
        <w:t>-140</w:t>
      </w:r>
      <w:r w:rsidRPr="00AC0DAF">
        <w:rPr>
          <w:lang w:val="fr-FR"/>
        </w:rPr>
        <w:t xml:space="preserve"> ci-dessus</w:t>
      </w:r>
      <w:r>
        <w:rPr>
          <w:lang w:val="fr-FR"/>
        </w:rPr>
        <w:t>)</w:t>
      </w:r>
      <w:r w:rsidRPr="007F5F3A">
        <w:rPr>
          <w:lang w:val="fr-FR"/>
        </w:rPr>
        <w:t>.</w:t>
      </w:r>
    </w:p>
    <w:p w:rsidR="00E77CB3" w:rsidRPr="00A27F18" w:rsidRDefault="00B23D28" w:rsidP="00C63990">
      <w:pPr>
        <w:pStyle w:val="ECHRHeading1"/>
        <w:rPr>
          <w:lang w:val="fr-FR"/>
        </w:rPr>
      </w:pPr>
      <w:r>
        <w:rPr>
          <w:lang w:val="fr-FR"/>
        </w:rPr>
        <w:t>III</w:t>
      </w:r>
      <w:r w:rsidR="00E77CB3" w:rsidRPr="00C611D8">
        <w:rPr>
          <w:lang w:val="fr-FR"/>
        </w:rPr>
        <w:t>.  </w:t>
      </w:r>
      <w:r w:rsidR="00A27F18" w:rsidRPr="00A27F18">
        <w:rPr>
          <w:lang w:val="fr-FR"/>
        </w:rPr>
        <w:t>SUR L</w:t>
      </w:r>
      <w:r w:rsidR="00603708">
        <w:rPr>
          <w:lang w:val="fr-FR"/>
        </w:rPr>
        <w:t>’</w:t>
      </w:r>
      <w:r w:rsidR="00A27F18" w:rsidRPr="00A27F18">
        <w:rPr>
          <w:lang w:val="fr-FR"/>
        </w:rPr>
        <w:t>APPLICATION DES ARTICLES 41 ET 46 DE LA CONVENTION</w:t>
      </w:r>
    </w:p>
    <w:p w:rsidR="00A27F18" w:rsidRPr="008D2B82" w:rsidRDefault="00A27F18" w:rsidP="00A27F18">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237</w:t>
      </w:r>
      <w:r>
        <w:rPr>
          <w:lang w:val="fr-FR"/>
        </w:rPr>
        <w:fldChar w:fldCharType="end"/>
      </w:r>
      <w:r>
        <w:rPr>
          <w:lang w:val="fr-FR"/>
        </w:rPr>
        <w:t>.  </w:t>
      </w:r>
      <w:r w:rsidRPr="008D2B82">
        <w:rPr>
          <w:lang w:val="fr-FR"/>
        </w:rPr>
        <w:t>Aux termes de l</w:t>
      </w:r>
      <w:r w:rsidR="00603708">
        <w:rPr>
          <w:lang w:val="fr-FR"/>
        </w:rPr>
        <w:t>’</w:t>
      </w:r>
      <w:r w:rsidRPr="008D2B82">
        <w:rPr>
          <w:lang w:val="fr-FR"/>
        </w:rPr>
        <w:t>article 41 de la Convention,</w:t>
      </w:r>
    </w:p>
    <w:p w:rsidR="00A27F18" w:rsidRPr="00A27F18" w:rsidRDefault="00A27F18" w:rsidP="00A27F18">
      <w:pPr>
        <w:pStyle w:val="ECHRParaQuote"/>
        <w:keepNext/>
        <w:keepLines/>
        <w:rPr>
          <w:lang w:val="fr-FR"/>
        </w:rPr>
      </w:pPr>
      <w:r w:rsidRPr="00A27F18">
        <w:rPr>
          <w:lang w:val="fr-FR"/>
        </w:rPr>
        <w:t>« Si la Cour déclare qu</w:t>
      </w:r>
      <w:r w:rsidR="00603708">
        <w:rPr>
          <w:lang w:val="fr-FR"/>
        </w:rPr>
        <w:t>’</w:t>
      </w:r>
      <w:r w:rsidRPr="00A27F18">
        <w:rPr>
          <w:lang w:val="fr-FR"/>
        </w:rPr>
        <w:t>il y a eu violation de la Convention ou de ses Protocoles, et si le droit interne de la Haute Partie contractante ne permet d</w:t>
      </w:r>
      <w:r w:rsidR="00603708">
        <w:rPr>
          <w:lang w:val="fr-FR"/>
        </w:rPr>
        <w:t>’</w:t>
      </w:r>
      <w:r w:rsidRPr="00A27F18">
        <w:rPr>
          <w:lang w:val="fr-FR"/>
        </w:rPr>
        <w:t>effacer qu</w:t>
      </w:r>
      <w:r w:rsidR="00603708">
        <w:rPr>
          <w:lang w:val="fr-FR"/>
        </w:rPr>
        <w:t>’</w:t>
      </w:r>
      <w:r w:rsidRPr="00A27F18">
        <w:rPr>
          <w:lang w:val="fr-FR"/>
        </w:rPr>
        <w:t>imparfaitement les conséquences de cette violation, la Cour accorde à la partie lésée, s</w:t>
      </w:r>
      <w:r w:rsidR="00603708">
        <w:rPr>
          <w:lang w:val="fr-FR"/>
        </w:rPr>
        <w:t>’</w:t>
      </w:r>
      <w:r w:rsidRPr="00A27F18">
        <w:rPr>
          <w:lang w:val="fr-FR"/>
        </w:rPr>
        <w:t>il y a lieu, une satisfaction équitable. »</w:t>
      </w:r>
    </w:p>
    <w:p w:rsidR="00A27F18" w:rsidRPr="008D2B82" w:rsidRDefault="00AB20F9" w:rsidP="00A27F18">
      <w:pPr>
        <w:pStyle w:val="ECHRPara"/>
        <w:rPr>
          <w:rFonts w:eastAsia="Times New Roman"/>
          <w:lang w:val="fr-FR"/>
        </w:rPr>
      </w:pPr>
      <w:r>
        <w:rPr>
          <w:rFonts w:eastAsia="Times New Roman"/>
          <w:lang w:val="fr-FR"/>
        </w:rPr>
        <w:fldChar w:fldCharType="begin"/>
      </w:r>
      <w:r>
        <w:rPr>
          <w:rFonts w:eastAsia="Times New Roman"/>
          <w:lang w:val="fr-FR"/>
        </w:rPr>
        <w:instrText xml:space="preserve"> SEQ level0 \*arabic </w:instrText>
      </w:r>
      <w:r>
        <w:rPr>
          <w:rFonts w:eastAsia="Times New Roman"/>
          <w:lang w:val="fr-FR"/>
        </w:rPr>
        <w:fldChar w:fldCharType="separate"/>
      </w:r>
      <w:r w:rsidR="00B378F9">
        <w:rPr>
          <w:rFonts w:eastAsia="Times New Roman"/>
          <w:noProof/>
          <w:lang w:val="fr-FR"/>
        </w:rPr>
        <w:t>238</w:t>
      </w:r>
      <w:r>
        <w:rPr>
          <w:rFonts w:eastAsia="Times New Roman"/>
          <w:lang w:val="fr-FR"/>
        </w:rPr>
        <w:fldChar w:fldCharType="end"/>
      </w:r>
      <w:r>
        <w:rPr>
          <w:rFonts w:eastAsia="Times New Roman"/>
          <w:lang w:val="fr-FR"/>
        </w:rPr>
        <w:t>.  </w:t>
      </w:r>
      <w:r w:rsidR="00A27F18" w:rsidRPr="008D2B82">
        <w:rPr>
          <w:rFonts w:eastAsia="Times New Roman"/>
          <w:lang w:val="fr-FR"/>
        </w:rPr>
        <w:t>Dans ses parties pertinentes</w:t>
      </w:r>
      <w:r w:rsidR="00371240">
        <w:rPr>
          <w:rFonts w:eastAsia="Times New Roman"/>
          <w:lang w:val="fr-FR"/>
        </w:rPr>
        <w:t xml:space="preserve"> en l</w:t>
      </w:r>
      <w:r w:rsidR="00603708">
        <w:rPr>
          <w:rFonts w:eastAsia="Times New Roman"/>
          <w:lang w:val="fr-FR"/>
        </w:rPr>
        <w:t>’</w:t>
      </w:r>
      <w:r w:rsidR="00371240">
        <w:rPr>
          <w:rFonts w:eastAsia="Times New Roman"/>
          <w:lang w:val="fr-FR"/>
        </w:rPr>
        <w:t>espèce</w:t>
      </w:r>
      <w:r w:rsidR="00A27F18" w:rsidRPr="008D2B82">
        <w:rPr>
          <w:rFonts w:eastAsia="Times New Roman"/>
          <w:lang w:val="fr-FR"/>
        </w:rPr>
        <w:t>, l</w:t>
      </w:r>
      <w:r w:rsidR="00603708">
        <w:rPr>
          <w:rFonts w:eastAsia="Times New Roman"/>
          <w:lang w:val="fr-FR"/>
        </w:rPr>
        <w:t>’</w:t>
      </w:r>
      <w:r w:rsidR="00A27F18" w:rsidRPr="008D2B82">
        <w:rPr>
          <w:rFonts w:eastAsia="Times New Roman"/>
          <w:lang w:val="fr-FR"/>
        </w:rPr>
        <w:t>article 46 de la Convention est ainsi libellé :</w:t>
      </w:r>
    </w:p>
    <w:p w:rsidR="00A27F18" w:rsidRPr="00A27F18" w:rsidRDefault="00A27F18" w:rsidP="00A27F18">
      <w:pPr>
        <w:pStyle w:val="ECHRParaQuote"/>
        <w:keepNext/>
        <w:keepLines/>
        <w:rPr>
          <w:lang w:val="fr-FR"/>
        </w:rPr>
      </w:pPr>
      <w:r w:rsidRPr="00A27F18">
        <w:rPr>
          <w:lang w:val="fr-FR"/>
        </w:rPr>
        <w:t>« 1.  Les Hautes Parties contractantes s</w:t>
      </w:r>
      <w:r w:rsidR="00603708">
        <w:rPr>
          <w:lang w:val="fr-FR"/>
        </w:rPr>
        <w:t>’</w:t>
      </w:r>
      <w:r w:rsidRPr="00A27F18">
        <w:rPr>
          <w:lang w:val="fr-FR"/>
        </w:rPr>
        <w:t>engagent à se conformer aux arrêts définitifs de la Cour dans les litiges auxquels elles sont parties.</w:t>
      </w:r>
    </w:p>
    <w:p w:rsidR="00A27F18" w:rsidRDefault="00A27F18" w:rsidP="00A27F18">
      <w:pPr>
        <w:pStyle w:val="ECHRParaQuote"/>
        <w:keepNext/>
        <w:keepLines/>
        <w:rPr>
          <w:lang w:val="fr-FR"/>
        </w:rPr>
      </w:pPr>
      <w:r w:rsidRPr="00A27F18">
        <w:rPr>
          <w:lang w:val="fr-FR"/>
        </w:rPr>
        <w:t>2.  L</w:t>
      </w:r>
      <w:r w:rsidR="00603708">
        <w:rPr>
          <w:lang w:val="fr-FR"/>
        </w:rPr>
        <w:t>’</w:t>
      </w:r>
      <w:r w:rsidRPr="00A27F18">
        <w:rPr>
          <w:lang w:val="fr-FR"/>
        </w:rPr>
        <w:t>arrêt définitif de la Cour est transmis au Comité des Ministres qui en surveille l</w:t>
      </w:r>
      <w:r w:rsidR="00603708">
        <w:rPr>
          <w:lang w:val="fr-FR"/>
        </w:rPr>
        <w:t>’</w:t>
      </w:r>
      <w:r w:rsidRPr="00A27F18">
        <w:rPr>
          <w:lang w:val="fr-FR"/>
        </w:rPr>
        <w:t>exécution (...)</w:t>
      </w:r>
      <w:r w:rsidR="002613BB">
        <w:rPr>
          <w:lang w:val="fr-FR"/>
        </w:rPr>
        <w:t>.</w:t>
      </w:r>
      <w:r w:rsidRPr="00A27F18">
        <w:rPr>
          <w:lang w:val="fr-FR"/>
        </w:rPr>
        <w:t> »</w:t>
      </w:r>
    </w:p>
    <w:p w:rsidR="00AB20F9" w:rsidRDefault="00AB20F9" w:rsidP="00AB20F9">
      <w:pPr>
        <w:pStyle w:val="ECHRHeading2"/>
        <w:rPr>
          <w:lang w:val="fr-FR"/>
        </w:rPr>
      </w:pPr>
      <w:r w:rsidRPr="00C62046">
        <w:rPr>
          <w:rFonts w:eastAsia="Times New Roman"/>
          <w:lang w:val="fr-FR"/>
        </w:rPr>
        <w:t>A.  Indication de mesures générales</w:t>
      </w:r>
    </w:p>
    <w:p w:rsidR="00AB20F9" w:rsidRPr="00AB20F9" w:rsidRDefault="00AB20F9" w:rsidP="00AB20F9">
      <w:pPr>
        <w:pStyle w:val="ECHRHeading3"/>
        <w:rPr>
          <w:rFonts w:eastAsia="Times New Roman"/>
          <w:lang w:val="fr-FR"/>
        </w:rPr>
      </w:pPr>
      <w:r w:rsidRPr="00AB20F9">
        <w:rPr>
          <w:rFonts w:eastAsia="Times New Roman"/>
          <w:lang w:val="fr-FR"/>
        </w:rPr>
        <w:t>1.  Principes généraux</w:t>
      </w:r>
    </w:p>
    <w:p w:rsidR="00AB20F9" w:rsidRPr="008D2B82" w:rsidRDefault="00AB20F9" w:rsidP="00AB20F9">
      <w:pPr>
        <w:pStyle w:val="ECHRPara"/>
        <w:rPr>
          <w:lang w:val="fr-FR"/>
        </w:rPr>
      </w:pPr>
      <w:r w:rsidRPr="008D2B82">
        <w:rPr>
          <w:rFonts w:eastAsia="Times New Roman"/>
        </w:rPr>
        <w:fldChar w:fldCharType="begin"/>
      </w:r>
      <w:r w:rsidRPr="008D2B82">
        <w:rPr>
          <w:rFonts w:eastAsia="Times New Roman"/>
          <w:lang w:val="fr-FR"/>
        </w:rPr>
        <w:instrText xml:space="preserve"> SEQ level0 \*arabic </w:instrText>
      </w:r>
      <w:r w:rsidRPr="008D2B82">
        <w:rPr>
          <w:rFonts w:eastAsia="Times New Roman"/>
        </w:rPr>
        <w:fldChar w:fldCharType="separate"/>
      </w:r>
      <w:r w:rsidR="00B378F9">
        <w:rPr>
          <w:rFonts w:eastAsia="Times New Roman"/>
          <w:noProof/>
          <w:lang w:val="fr-FR"/>
        </w:rPr>
        <w:t>239</w:t>
      </w:r>
      <w:r w:rsidRPr="008D2B82">
        <w:rPr>
          <w:rFonts w:eastAsia="Times New Roman"/>
        </w:rPr>
        <w:fldChar w:fldCharType="end"/>
      </w:r>
      <w:r w:rsidRPr="008D2B82">
        <w:rPr>
          <w:rFonts w:eastAsia="Times New Roman"/>
          <w:lang w:val="fr-FR"/>
        </w:rPr>
        <w:t>.  La Cour rappelle que tout arrêt constatant une violation entraîne pour l</w:t>
      </w:r>
      <w:r w:rsidR="00603708">
        <w:rPr>
          <w:rFonts w:eastAsia="Times New Roman"/>
          <w:lang w:val="fr-FR"/>
        </w:rPr>
        <w:t>’</w:t>
      </w:r>
      <w:r w:rsidRPr="008D2B82">
        <w:rPr>
          <w:rFonts w:eastAsia="Times New Roman"/>
          <w:lang w:val="fr-FR"/>
        </w:rPr>
        <w:t>État défendeur l</w:t>
      </w:r>
      <w:r w:rsidR="00603708">
        <w:rPr>
          <w:rFonts w:eastAsia="Times New Roman"/>
          <w:lang w:val="fr-FR"/>
        </w:rPr>
        <w:t>’</w:t>
      </w:r>
      <w:r w:rsidRPr="008D2B82">
        <w:rPr>
          <w:rFonts w:eastAsia="Times New Roman"/>
          <w:lang w:val="fr-FR"/>
        </w:rPr>
        <w:t>obligation juridique au regard de l</w:t>
      </w:r>
      <w:r w:rsidR="00603708">
        <w:rPr>
          <w:rFonts w:eastAsia="Times New Roman"/>
          <w:lang w:val="fr-FR"/>
        </w:rPr>
        <w:t>’</w:t>
      </w:r>
      <w:r w:rsidRPr="008D2B82">
        <w:rPr>
          <w:rFonts w:eastAsia="Times New Roman"/>
          <w:lang w:val="fr-FR"/>
        </w:rPr>
        <w:t>article 46 de la Convention de mettre un terme à la violation et d</w:t>
      </w:r>
      <w:r w:rsidR="00603708">
        <w:rPr>
          <w:rFonts w:eastAsia="Times New Roman"/>
          <w:lang w:val="fr-FR"/>
        </w:rPr>
        <w:t>’</w:t>
      </w:r>
      <w:r w:rsidRPr="008D2B82">
        <w:rPr>
          <w:rFonts w:eastAsia="Times New Roman"/>
          <w:lang w:val="fr-FR"/>
        </w:rPr>
        <w:t>en effacer les conséquences, de manière à rétablir autant que faire se peut la situation antérieure à celle-ci. Si le droit national ne permet pas ou ne permet qu</w:t>
      </w:r>
      <w:r w:rsidR="00603708">
        <w:rPr>
          <w:rFonts w:eastAsia="Times New Roman"/>
          <w:lang w:val="fr-FR"/>
        </w:rPr>
        <w:t>’</w:t>
      </w:r>
      <w:r w:rsidRPr="008D2B82">
        <w:rPr>
          <w:rFonts w:eastAsia="Times New Roman"/>
          <w:lang w:val="fr-FR"/>
        </w:rPr>
        <w:t>imparfaitement d</w:t>
      </w:r>
      <w:r w:rsidR="00603708">
        <w:rPr>
          <w:rFonts w:eastAsia="Times New Roman"/>
          <w:lang w:val="fr-FR"/>
        </w:rPr>
        <w:t>’</w:t>
      </w:r>
      <w:r w:rsidRPr="008D2B82">
        <w:rPr>
          <w:rFonts w:eastAsia="Times New Roman"/>
          <w:lang w:val="fr-FR"/>
        </w:rPr>
        <w:t>effacer les conséquences de la violation, l</w:t>
      </w:r>
      <w:r w:rsidR="00603708">
        <w:rPr>
          <w:rFonts w:eastAsia="Times New Roman"/>
          <w:lang w:val="fr-FR"/>
        </w:rPr>
        <w:t>’</w:t>
      </w:r>
      <w:r w:rsidRPr="008D2B82">
        <w:rPr>
          <w:rFonts w:eastAsia="Times New Roman"/>
          <w:lang w:val="fr-FR"/>
        </w:rPr>
        <w:t>article 41 habilite la Cour à accorder à la partie lésée</w:t>
      </w:r>
      <w:r w:rsidR="00BD567F">
        <w:rPr>
          <w:rFonts w:eastAsia="Times New Roman"/>
          <w:lang w:val="fr-FR"/>
        </w:rPr>
        <w:t>,</w:t>
      </w:r>
      <w:r w:rsidRPr="008D2B82">
        <w:rPr>
          <w:rFonts w:eastAsia="Times New Roman"/>
          <w:lang w:val="fr-FR"/>
        </w:rPr>
        <w:t xml:space="preserve"> s</w:t>
      </w:r>
      <w:r w:rsidR="00603708">
        <w:rPr>
          <w:rFonts w:eastAsia="Times New Roman"/>
          <w:lang w:val="fr-FR"/>
        </w:rPr>
        <w:t>’</w:t>
      </w:r>
      <w:r w:rsidRPr="008D2B82">
        <w:rPr>
          <w:rFonts w:eastAsia="Times New Roman"/>
          <w:lang w:val="fr-FR"/>
        </w:rPr>
        <w:t>il y a lieu</w:t>
      </w:r>
      <w:r w:rsidR="00BD567F">
        <w:rPr>
          <w:rFonts w:eastAsia="Times New Roman"/>
          <w:lang w:val="fr-FR"/>
        </w:rPr>
        <w:t>,</w:t>
      </w:r>
      <w:r w:rsidRPr="008D2B82">
        <w:rPr>
          <w:rFonts w:eastAsia="Times New Roman"/>
          <w:lang w:val="fr-FR"/>
        </w:rPr>
        <w:t xml:space="preserve"> la satisfaction qui lui semble appropriée. Il en découle notamment que l</w:t>
      </w:r>
      <w:r w:rsidR="00603708">
        <w:rPr>
          <w:rFonts w:eastAsia="Times New Roman"/>
          <w:lang w:val="fr-FR"/>
        </w:rPr>
        <w:t>’</w:t>
      </w:r>
      <w:r w:rsidRPr="008D2B82">
        <w:rPr>
          <w:rFonts w:eastAsia="Times New Roman"/>
          <w:lang w:val="fr-FR"/>
        </w:rPr>
        <w:t>État défendeur reconnu responsable d</w:t>
      </w:r>
      <w:r w:rsidR="00603708">
        <w:rPr>
          <w:rFonts w:eastAsia="Times New Roman"/>
          <w:lang w:val="fr-FR"/>
        </w:rPr>
        <w:t>’</w:t>
      </w:r>
      <w:r w:rsidRPr="008D2B82">
        <w:rPr>
          <w:rFonts w:eastAsia="Times New Roman"/>
          <w:lang w:val="fr-FR"/>
        </w:rPr>
        <w:t xml:space="preserve">une violation de la Convention ou de ses Protocoles est appelé non seulement à verser aux intéressés les sommes allouées </w:t>
      </w:r>
      <w:r w:rsidR="00BD567F">
        <w:rPr>
          <w:rFonts w:eastAsia="Times New Roman"/>
          <w:lang w:val="fr-FR"/>
        </w:rPr>
        <w:t>au</w:t>
      </w:r>
      <w:r w:rsidRPr="008D2B82">
        <w:rPr>
          <w:rFonts w:eastAsia="Times New Roman"/>
          <w:lang w:val="fr-FR"/>
        </w:rPr>
        <w:t xml:space="preserve"> titre de satisfaction équitable, mais aussi à choisir, sous le contrôle du Comité des Ministres, les mesures générales et/ou, le cas échéant, individuelles à adopter dans son ordre juridique interne (</w:t>
      </w:r>
      <w:r w:rsidRPr="008D2B82">
        <w:rPr>
          <w:rFonts w:ascii="Times New Roman" w:eastAsia="Times New Roman" w:hAnsi="Times New Roman" w:cs="Times New Roman"/>
          <w:i/>
          <w:lang w:val="fr-FR"/>
        </w:rPr>
        <w:t>Del Rio Prada c.</w:t>
      </w:r>
      <w:r w:rsidR="006B2673">
        <w:rPr>
          <w:rFonts w:ascii="Times New Roman" w:eastAsia="Times New Roman" w:hAnsi="Times New Roman" w:cs="Times New Roman"/>
          <w:i/>
          <w:lang w:val="fr-FR"/>
        </w:rPr>
        <w:t> </w:t>
      </w:r>
      <w:r w:rsidRPr="008D2B82">
        <w:rPr>
          <w:rFonts w:ascii="Times New Roman" w:eastAsia="Times New Roman" w:hAnsi="Times New Roman" w:cs="Times New Roman"/>
          <w:i/>
          <w:lang w:val="fr-FR"/>
        </w:rPr>
        <w:t xml:space="preserve">Espagne </w:t>
      </w:r>
      <w:r w:rsidRPr="008D2B82">
        <w:rPr>
          <w:rFonts w:ascii="Times New Roman" w:eastAsia="Times New Roman" w:hAnsi="Times New Roman" w:cs="Times New Roman"/>
          <w:lang w:val="fr-FR"/>
        </w:rPr>
        <w:t>[GC], n</w:t>
      </w:r>
      <w:r w:rsidRPr="008D2B82">
        <w:rPr>
          <w:rFonts w:ascii="Times New Roman" w:eastAsia="Times New Roman" w:hAnsi="Times New Roman" w:cs="Times New Roman"/>
          <w:vertAlign w:val="superscript"/>
          <w:lang w:val="fr-FR"/>
        </w:rPr>
        <w:t>o </w:t>
      </w:r>
      <w:r w:rsidRPr="008D2B82">
        <w:rPr>
          <w:rFonts w:ascii="Times New Roman" w:eastAsia="Times New Roman" w:hAnsi="Times New Roman" w:cs="Times New Roman"/>
          <w:lang w:val="fr-FR"/>
        </w:rPr>
        <w:t xml:space="preserve">42750/09, § 137, CEDH 2013, </w:t>
      </w:r>
      <w:r w:rsidRPr="008D2B82">
        <w:rPr>
          <w:rFonts w:eastAsia="Times New Roman"/>
          <w:i/>
          <w:lang w:val="fr-FR"/>
        </w:rPr>
        <w:t>Maestri c. Italie</w:t>
      </w:r>
      <w:r w:rsidRPr="008D2B82">
        <w:rPr>
          <w:rFonts w:eastAsia="Times New Roman"/>
          <w:lang w:val="fr-FR"/>
        </w:rPr>
        <w:t xml:space="preserve"> [GC], n</w:t>
      </w:r>
      <w:r w:rsidRPr="008D2B82">
        <w:rPr>
          <w:rFonts w:eastAsia="Times New Roman"/>
          <w:vertAlign w:val="superscript"/>
          <w:lang w:val="fr-FR"/>
        </w:rPr>
        <w:t>o</w:t>
      </w:r>
      <w:r w:rsidR="001C3464">
        <w:rPr>
          <w:rFonts w:eastAsia="Times New Roman"/>
          <w:vertAlign w:val="superscript"/>
          <w:lang w:val="fr-FR"/>
        </w:rPr>
        <w:t> </w:t>
      </w:r>
      <w:r w:rsidRPr="008D2B82">
        <w:rPr>
          <w:rFonts w:eastAsia="Times New Roman"/>
          <w:lang w:val="fr-FR"/>
        </w:rPr>
        <w:t>39748/98, § 47, CEDH 2004</w:t>
      </w:r>
      <w:r w:rsidRPr="008D2B82">
        <w:rPr>
          <w:rFonts w:eastAsia="Times New Roman"/>
          <w:lang w:val="fr-FR"/>
        </w:rPr>
        <w:noBreakHyphen/>
        <w:t xml:space="preserve">I, </w:t>
      </w:r>
      <w:r w:rsidRPr="008D2B82">
        <w:rPr>
          <w:rFonts w:eastAsia="Times New Roman"/>
          <w:i/>
          <w:lang w:val="fr-FR"/>
        </w:rPr>
        <w:t xml:space="preserve">Assanidzé c. Géorgie </w:t>
      </w:r>
      <w:r w:rsidRPr="008D2B82">
        <w:rPr>
          <w:rFonts w:eastAsia="Times New Roman"/>
          <w:lang w:val="fr-FR"/>
        </w:rPr>
        <w:t>[GC], n</w:t>
      </w:r>
      <w:r w:rsidRPr="008D2B82">
        <w:rPr>
          <w:rFonts w:eastAsia="Times New Roman"/>
          <w:vertAlign w:val="superscript"/>
          <w:lang w:val="fr-FR"/>
        </w:rPr>
        <w:t xml:space="preserve">o </w:t>
      </w:r>
      <w:r w:rsidRPr="008D2B82">
        <w:rPr>
          <w:rFonts w:eastAsia="Times New Roman"/>
          <w:lang w:val="fr-FR"/>
        </w:rPr>
        <w:t>71503/01, § 198, CEDH 2004</w:t>
      </w:r>
      <w:r w:rsidRPr="008D2B82">
        <w:rPr>
          <w:rFonts w:eastAsia="Times New Roman"/>
          <w:lang w:val="fr-FR"/>
        </w:rPr>
        <w:noBreakHyphen/>
        <w:t xml:space="preserve">II, et </w:t>
      </w:r>
      <w:r w:rsidRPr="008D2B82">
        <w:rPr>
          <w:rFonts w:eastAsia="Times New Roman"/>
          <w:i/>
          <w:iCs/>
          <w:lang w:val="fr-FR"/>
        </w:rPr>
        <w:t xml:space="preserve">Ilaşcu et autres c. Moldova et Russie </w:t>
      </w:r>
      <w:r w:rsidRPr="008D2B82">
        <w:rPr>
          <w:rFonts w:eastAsia="Times New Roman"/>
          <w:lang w:val="fr-FR"/>
        </w:rPr>
        <w:t>[GC], n</w:t>
      </w:r>
      <w:r w:rsidRPr="008D2B82">
        <w:rPr>
          <w:rFonts w:eastAsia="Times New Roman"/>
          <w:vertAlign w:val="superscript"/>
          <w:lang w:val="fr-FR"/>
        </w:rPr>
        <w:t>o</w:t>
      </w:r>
      <w:r w:rsidR="001C3464">
        <w:rPr>
          <w:rFonts w:eastAsia="Times New Roman"/>
          <w:vertAlign w:val="superscript"/>
          <w:lang w:val="fr-FR"/>
        </w:rPr>
        <w:t> </w:t>
      </w:r>
      <w:r w:rsidRPr="008D2B82">
        <w:rPr>
          <w:rFonts w:eastAsia="Times New Roman"/>
          <w:lang w:val="fr-FR"/>
        </w:rPr>
        <w:t>48787/99, § 487, CEDH 2004-VII).</w:t>
      </w:r>
    </w:p>
    <w:p w:rsidR="00AB20F9" w:rsidRPr="008E00A0" w:rsidRDefault="00AB20F9" w:rsidP="00AB20F9">
      <w:pPr>
        <w:pStyle w:val="ECHRPara"/>
        <w:rPr>
          <w:rFonts w:eastAsia="Times New Roman"/>
          <w:lang w:val="fr-FR"/>
        </w:rPr>
      </w:pPr>
      <w:r w:rsidRPr="008D2B82">
        <w:rPr>
          <w:rFonts w:eastAsia="Times New Roman"/>
        </w:rPr>
        <w:fldChar w:fldCharType="begin"/>
      </w:r>
      <w:r w:rsidRPr="008D2B82">
        <w:rPr>
          <w:rFonts w:eastAsia="Times New Roman"/>
          <w:lang w:val="fr-FR"/>
        </w:rPr>
        <w:instrText xml:space="preserve"> SEQ level0 \*arabic </w:instrText>
      </w:r>
      <w:r w:rsidRPr="008D2B82">
        <w:rPr>
          <w:rFonts w:eastAsia="Times New Roman"/>
        </w:rPr>
        <w:fldChar w:fldCharType="separate"/>
      </w:r>
      <w:r w:rsidR="00B378F9">
        <w:rPr>
          <w:rFonts w:eastAsia="Times New Roman"/>
          <w:noProof/>
          <w:lang w:val="fr-FR"/>
        </w:rPr>
        <w:t>240</w:t>
      </w:r>
      <w:r w:rsidRPr="008D2B82">
        <w:rPr>
          <w:rFonts w:eastAsia="Times New Roman"/>
        </w:rPr>
        <w:fldChar w:fldCharType="end"/>
      </w:r>
      <w:r w:rsidRPr="008D2B82">
        <w:rPr>
          <w:rFonts w:eastAsia="Times New Roman"/>
          <w:lang w:val="fr-FR"/>
        </w:rPr>
        <w:t>.  La Cour rappelle en outre que ses arrêts ont un caractère déclaratoire pour l</w:t>
      </w:r>
      <w:r w:rsidR="00603708">
        <w:rPr>
          <w:rFonts w:eastAsia="Times New Roman"/>
          <w:lang w:val="fr-FR"/>
        </w:rPr>
        <w:t>’</w:t>
      </w:r>
      <w:r w:rsidRPr="008D2B82">
        <w:rPr>
          <w:rFonts w:eastAsia="Times New Roman"/>
          <w:lang w:val="fr-FR"/>
        </w:rPr>
        <w:t>essentiel et qu</w:t>
      </w:r>
      <w:r w:rsidR="00603708">
        <w:rPr>
          <w:rFonts w:eastAsia="Times New Roman"/>
          <w:lang w:val="fr-FR"/>
        </w:rPr>
        <w:t>’</w:t>
      </w:r>
      <w:r w:rsidRPr="008D2B82">
        <w:rPr>
          <w:rFonts w:eastAsia="Times New Roman"/>
          <w:lang w:val="fr-FR"/>
        </w:rPr>
        <w:t>en général</w:t>
      </w:r>
      <w:r w:rsidR="00361D67">
        <w:rPr>
          <w:rFonts w:eastAsia="Times New Roman"/>
          <w:lang w:val="fr-FR"/>
        </w:rPr>
        <w:t>,</w:t>
      </w:r>
      <w:r w:rsidRPr="008D2B82">
        <w:rPr>
          <w:rFonts w:eastAsia="Times New Roman"/>
          <w:lang w:val="fr-FR"/>
        </w:rPr>
        <w:t xml:space="preserve"> c</w:t>
      </w:r>
      <w:r w:rsidR="00603708">
        <w:rPr>
          <w:rFonts w:eastAsia="Times New Roman"/>
          <w:lang w:val="fr-FR"/>
        </w:rPr>
        <w:t>’</w:t>
      </w:r>
      <w:r w:rsidRPr="008D2B82">
        <w:rPr>
          <w:rFonts w:eastAsia="Times New Roman"/>
          <w:lang w:val="fr-FR"/>
        </w:rPr>
        <w:t>est au premier chef à l</w:t>
      </w:r>
      <w:r w:rsidR="00603708">
        <w:rPr>
          <w:rFonts w:eastAsia="Times New Roman"/>
          <w:lang w:val="fr-FR"/>
        </w:rPr>
        <w:t>’</w:t>
      </w:r>
      <w:r w:rsidRPr="008D2B82">
        <w:rPr>
          <w:rFonts w:eastAsia="Times New Roman"/>
          <w:lang w:val="fr-FR"/>
        </w:rPr>
        <w:t>État en cause qu</w:t>
      </w:r>
      <w:r w:rsidR="00603708">
        <w:rPr>
          <w:rFonts w:eastAsia="Times New Roman"/>
          <w:lang w:val="fr-FR"/>
        </w:rPr>
        <w:t>’</w:t>
      </w:r>
      <w:r w:rsidRPr="008D2B82">
        <w:rPr>
          <w:rFonts w:eastAsia="Times New Roman"/>
          <w:lang w:val="fr-FR"/>
        </w:rPr>
        <w:t>il appartient de choisir, sous le contrôle du Comité des Ministres, les moyens à utiliser dans son ordre juridique interne pour s</w:t>
      </w:r>
      <w:r w:rsidR="00603708">
        <w:rPr>
          <w:rFonts w:eastAsia="Times New Roman"/>
          <w:lang w:val="fr-FR"/>
        </w:rPr>
        <w:t>’</w:t>
      </w:r>
      <w:r w:rsidRPr="008D2B82">
        <w:rPr>
          <w:rFonts w:eastAsia="Times New Roman"/>
          <w:lang w:val="fr-FR"/>
        </w:rPr>
        <w:t>acquitter de son obligation au regard de l</w:t>
      </w:r>
      <w:r w:rsidR="00603708">
        <w:rPr>
          <w:rFonts w:eastAsia="Times New Roman"/>
          <w:lang w:val="fr-FR"/>
        </w:rPr>
        <w:t>’</w:t>
      </w:r>
      <w:r w:rsidRPr="008D2B82">
        <w:rPr>
          <w:rFonts w:eastAsia="Times New Roman"/>
          <w:lang w:val="fr-FR"/>
        </w:rPr>
        <w:t>article 46 de la Convention, pour autant que ces moyens soient compatibles avec les conclusions contenues dans l</w:t>
      </w:r>
      <w:r w:rsidR="00603708">
        <w:rPr>
          <w:rFonts w:eastAsia="Times New Roman"/>
          <w:lang w:val="fr-FR"/>
        </w:rPr>
        <w:t>’</w:t>
      </w:r>
      <w:r w:rsidRPr="008D2B82">
        <w:rPr>
          <w:rFonts w:eastAsia="Times New Roman"/>
          <w:lang w:val="fr-FR"/>
        </w:rPr>
        <w:t xml:space="preserve">arrêt de la Cour (voir, entre autres, </w:t>
      </w:r>
      <w:r w:rsidRPr="008D2B82">
        <w:rPr>
          <w:rFonts w:eastAsia="Times New Roman"/>
          <w:i/>
          <w:iCs/>
          <w:lang w:val="fr-FR"/>
        </w:rPr>
        <w:t>Scozzari et Giunta c. Italie</w:t>
      </w:r>
      <w:r w:rsidRPr="008D2B82">
        <w:rPr>
          <w:rFonts w:eastAsia="Times New Roman"/>
          <w:lang w:val="fr-FR"/>
        </w:rPr>
        <w:t xml:space="preserve"> [GC], n</w:t>
      </w:r>
      <w:r w:rsidRPr="008D2B82">
        <w:rPr>
          <w:rFonts w:eastAsia="Times New Roman"/>
          <w:vertAlign w:val="superscript"/>
          <w:lang w:val="fr-FR"/>
        </w:rPr>
        <w:t>os </w:t>
      </w:r>
      <w:r w:rsidRPr="008D2B82">
        <w:rPr>
          <w:rFonts w:eastAsia="Times New Roman"/>
          <w:lang w:val="fr-FR"/>
        </w:rPr>
        <w:t xml:space="preserve">39221/98 et 41963/98, § 249, CEDH 2000-VIII, </w:t>
      </w:r>
      <w:r w:rsidRPr="008D2B82">
        <w:rPr>
          <w:rFonts w:eastAsia="Times New Roman"/>
          <w:i/>
          <w:iCs/>
          <w:lang w:val="fr-FR"/>
        </w:rPr>
        <w:t>Brumărescu c. Roumanie</w:t>
      </w:r>
      <w:r w:rsidRPr="008D2B82">
        <w:rPr>
          <w:rFonts w:eastAsia="Times New Roman"/>
          <w:lang w:val="fr-FR"/>
        </w:rPr>
        <w:t xml:space="preserve"> (satisfaction équitable) [GC], n</w:t>
      </w:r>
      <w:r w:rsidRPr="008D2B82">
        <w:rPr>
          <w:rFonts w:eastAsia="Times New Roman"/>
          <w:vertAlign w:val="superscript"/>
          <w:lang w:val="fr-FR"/>
        </w:rPr>
        <w:t xml:space="preserve">o </w:t>
      </w:r>
      <w:r w:rsidRPr="008D2B82">
        <w:rPr>
          <w:rFonts w:eastAsia="Times New Roman"/>
          <w:lang w:val="fr-FR"/>
        </w:rPr>
        <w:t xml:space="preserve">28342/95, § 20, CEDH 2001-I, et </w:t>
      </w:r>
      <w:r w:rsidRPr="008D2B82">
        <w:rPr>
          <w:rFonts w:eastAsia="Times New Roman"/>
          <w:i/>
          <w:iCs/>
          <w:lang w:val="fr-FR"/>
        </w:rPr>
        <w:t>Öcalan c. Turquie</w:t>
      </w:r>
      <w:r w:rsidRPr="008D2B82">
        <w:rPr>
          <w:rFonts w:eastAsia="Times New Roman"/>
          <w:lang w:val="fr-FR"/>
        </w:rPr>
        <w:t xml:space="preserve"> [GC], n</w:t>
      </w:r>
      <w:r w:rsidRPr="008D2B82">
        <w:rPr>
          <w:rFonts w:eastAsia="Times New Roman"/>
          <w:vertAlign w:val="superscript"/>
          <w:lang w:val="fr-FR"/>
        </w:rPr>
        <w:t xml:space="preserve">o </w:t>
      </w:r>
      <w:r w:rsidRPr="008D2B82">
        <w:rPr>
          <w:rFonts w:eastAsia="Times New Roman"/>
          <w:lang w:val="fr-FR"/>
        </w:rPr>
        <w:t>46221/99, § 210, CEDH 2005-IV). Ce</w:t>
      </w:r>
      <w:r w:rsidR="00A51241">
        <w:rPr>
          <w:rFonts w:eastAsia="Times New Roman"/>
          <w:lang w:val="fr-FR"/>
        </w:rPr>
        <w:t> </w:t>
      </w:r>
      <w:r w:rsidRPr="008D2B82">
        <w:rPr>
          <w:rFonts w:eastAsia="Times New Roman"/>
          <w:lang w:val="fr-FR"/>
        </w:rPr>
        <w:t>pouvoir d</w:t>
      </w:r>
      <w:r w:rsidR="00603708">
        <w:rPr>
          <w:rFonts w:eastAsia="Times New Roman"/>
          <w:lang w:val="fr-FR"/>
        </w:rPr>
        <w:t>’</w:t>
      </w:r>
      <w:r w:rsidRPr="008D2B82">
        <w:rPr>
          <w:rFonts w:eastAsia="Times New Roman"/>
          <w:lang w:val="fr-FR"/>
        </w:rPr>
        <w:t>appréciation quant aux modalités d</w:t>
      </w:r>
      <w:r w:rsidR="00603708">
        <w:rPr>
          <w:rFonts w:eastAsia="Times New Roman"/>
          <w:lang w:val="fr-FR"/>
        </w:rPr>
        <w:t>’</w:t>
      </w:r>
      <w:r w:rsidRPr="008D2B82">
        <w:rPr>
          <w:rFonts w:eastAsia="Times New Roman"/>
          <w:lang w:val="fr-FR"/>
        </w:rPr>
        <w:t>exécution d</w:t>
      </w:r>
      <w:r w:rsidR="00603708">
        <w:rPr>
          <w:rFonts w:eastAsia="Times New Roman"/>
          <w:lang w:val="fr-FR"/>
        </w:rPr>
        <w:t>’</w:t>
      </w:r>
      <w:r w:rsidRPr="008D2B82">
        <w:rPr>
          <w:rFonts w:eastAsia="Times New Roman"/>
          <w:lang w:val="fr-FR"/>
        </w:rPr>
        <w:t>un arrêt traduit la liberté de choix dont est assortie l</w:t>
      </w:r>
      <w:r w:rsidR="00603708">
        <w:rPr>
          <w:rFonts w:eastAsia="Times New Roman"/>
          <w:lang w:val="fr-FR"/>
        </w:rPr>
        <w:t>’</w:t>
      </w:r>
      <w:r w:rsidRPr="008D2B82">
        <w:rPr>
          <w:rFonts w:eastAsia="Times New Roman"/>
          <w:lang w:val="fr-FR"/>
        </w:rPr>
        <w:t>obligation primordiale imposée par la Convention aux États contractants : assurer le respect des droits et libertés garantis (</w:t>
      </w:r>
      <w:r w:rsidRPr="008D2B82">
        <w:rPr>
          <w:rFonts w:eastAsia="Times New Roman"/>
          <w:i/>
          <w:lang w:val="fr-FR"/>
        </w:rPr>
        <w:t>Papamichalopoulos et autres c. Grèce</w:t>
      </w:r>
      <w:r w:rsidRPr="008D2B82">
        <w:rPr>
          <w:rFonts w:eastAsia="Times New Roman"/>
          <w:lang w:val="fr-FR"/>
        </w:rPr>
        <w:t xml:space="preserve"> (article 50), 31 octobre </w:t>
      </w:r>
      <w:r w:rsidRPr="008E00A0">
        <w:rPr>
          <w:rFonts w:eastAsia="Times New Roman"/>
          <w:lang w:val="fr-FR"/>
        </w:rPr>
        <w:t>1995, § 34, série A n</w:t>
      </w:r>
      <w:r w:rsidRPr="008E00A0">
        <w:rPr>
          <w:rFonts w:eastAsia="Times New Roman"/>
          <w:vertAlign w:val="superscript"/>
          <w:lang w:val="fr-FR"/>
        </w:rPr>
        <w:t xml:space="preserve">o </w:t>
      </w:r>
      <w:r w:rsidRPr="008E00A0">
        <w:rPr>
          <w:rFonts w:eastAsia="Times New Roman"/>
          <w:lang w:val="fr-FR"/>
        </w:rPr>
        <w:t>330</w:t>
      </w:r>
      <w:r w:rsidRPr="008E00A0">
        <w:rPr>
          <w:rFonts w:eastAsia="Times New Roman"/>
          <w:lang w:val="fr-FR"/>
        </w:rPr>
        <w:noBreakHyphen/>
        <w:t>B).</w:t>
      </w:r>
    </w:p>
    <w:p w:rsidR="00AB20F9" w:rsidRPr="008D2B82" w:rsidRDefault="00AB20F9" w:rsidP="00AB20F9">
      <w:pPr>
        <w:pStyle w:val="ECHRPara"/>
        <w:rPr>
          <w:rFonts w:eastAsia="Times New Roman"/>
          <w:i/>
          <w:lang w:val="fr-FR"/>
        </w:rPr>
      </w:pPr>
      <w:r w:rsidRPr="008E00A0">
        <w:rPr>
          <w:rFonts w:eastAsia="Times New Roman"/>
        </w:rPr>
        <w:fldChar w:fldCharType="begin"/>
      </w:r>
      <w:r w:rsidRPr="008E00A0">
        <w:rPr>
          <w:rFonts w:eastAsia="Times New Roman"/>
          <w:lang w:val="fr-FR"/>
        </w:rPr>
        <w:instrText xml:space="preserve"> SEQ level0 \*arabic </w:instrText>
      </w:r>
      <w:r w:rsidRPr="008E00A0">
        <w:rPr>
          <w:rFonts w:eastAsia="Times New Roman"/>
        </w:rPr>
        <w:fldChar w:fldCharType="separate"/>
      </w:r>
      <w:r w:rsidR="00B378F9">
        <w:rPr>
          <w:rFonts w:eastAsia="Times New Roman"/>
          <w:noProof/>
          <w:lang w:val="fr-FR"/>
        </w:rPr>
        <w:t>241</w:t>
      </w:r>
      <w:r w:rsidRPr="008E00A0">
        <w:rPr>
          <w:rFonts w:eastAsia="Times New Roman"/>
        </w:rPr>
        <w:fldChar w:fldCharType="end"/>
      </w:r>
      <w:r w:rsidRPr="008E00A0">
        <w:rPr>
          <w:rFonts w:eastAsia="Times New Roman"/>
          <w:lang w:val="fr-FR"/>
        </w:rPr>
        <w:t>.  Cependant, exceptionnel</w:t>
      </w:r>
      <w:r w:rsidR="00BD567F" w:rsidRPr="008E00A0">
        <w:rPr>
          <w:rFonts w:eastAsia="Times New Roman"/>
          <w:lang w:val="fr-FR"/>
        </w:rPr>
        <w:t>lement</w:t>
      </w:r>
      <w:r w:rsidRPr="008E00A0">
        <w:rPr>
          <w:rFonts w:eastAsia="Times New Roman"/>
          <w:lang w:val="fr-FR"/>
        </w:rPr>
        <w:t>, pour aider l</w:t>
      </w:r>
      <w:r w:rsidR="00603708">
        <w:rPr>
          <w:rFonts w:eastAsia="Times New Roman"/>
          <w:lang w:val="fr-FR"/>
        </w:rPr>
        <w:t>’</w:t>
      </w:r>
      <w:r w:rsidRPr="008E00A0">
        <w:rPr>
          <w:rFonts w:eastAsia="Times New Roman"/>
          <w:lang w:val="fr-FR"/>
        </w:rPr>
        <w:t>État défendeur à remplir ses obligations au titre de l</w:t>
      </w:r>
      <w:r w:rsidR="00603708">
        <w:rPr>
          <w:rFonts w:eastAsia="Times New Roman"/>
          <w:lang w:val="fr-FR"/>
        </w:rPr>
        <w:t>’</w:t>
      </w:r>
      <w:r w:rsidRPr="008E00A0">
        <w:rPr>
          <w:rFonts w:eastAsia="Times New Roman"/>
          <w:lang w:val="fr-FR"/>
        </w:rPr>
        <w:t xml:space="preserve">article 46, la Cour </w:t>
      </w:r>
      <w:r w:rsidR="00BD567F">
        <w:rPr>
          <w:rFonts w:eastAsia="Times New Roman"/>
          <w:lang w:val="fr-FR"/>
        </w:rPr>
        <w:t xml:space="preserve">peut </w:t>
      </w:r>
      <w:r w:rsidRPr="008E00A0">
        <w:rPr>
          <w:rFonts w:eastAsia="Times New Roman"/>
          <w:lang w:val="fr-FR"/>
        </w:rPr>
        <w:t>cherche</w:t>
      </w:r>
      <w:r w:rsidR="00BD567F">
        <w:rPr>
          <w:rFonts w:eastAsia="Times New Roman"/>
          <w:lang w:val="fr-FR"/>
        </w:rPr>
        <w:t>r</w:t>
      </w:r>
      <w:r w:rsidRPr="008E00A0">
        <w:rPr>
          <w:rFonts w:eastAsia="Times New Roman"/>
          <w:lang w:val="fr-FR"/>
        </w:rPr>
        <w:t xml:space="preserve"> à indiquer le type de mesures à prendre pour mettre un terme à la situation structurelle</w:t>
      </w:r>
      <w:r w:rsidRPr="008D2B82">
        <w:rPr>
          <w:rFonts w:eastAsia="Times New Roman"/>
          <w:lang w:val="fr-FR"/>
        </w:rPr>
        <w:t xml:space="preserve"> qu</w:t>
      </w:r>
      <w:r w:rsidR="00603708">
        <w:rPr>
          <w:rFonts w:eastAsia="Times New Roman"/>
          <w:lang w:val="fr-FR"/>
        </w:rPr>
        <w:t>’</w:t>
      </w:r>
      <w:r w:rsidRPr="008D2B82">
        <w:rPr>
          <w:rFonts w:eastAsia="Times New Roman"/>
          <w:lang w:val="fr-FR"/>
        </w:rPr>
        <w:t xml:space="preserve">elle </w:t>
      </w:r>
      <w:r w:rsidR="00BD567F">
        <w:rPr>
          <w:rFonts w:eastAsia="Times New Roman"/>
          <w:lang w:val="fr-FR"/>
        </w:rPr>
        <w:t xml:space="preserve">a </w:t>
      </w:r>
      <w:r w:rsidRPr="008D2B82">
        <w:rPr>
          <w:rFonts w:eastAsia="Times New Roman"/>
          <w:lang w:val="fr-FR"/>
        </w:rPr>
        <w:t>constat</w:t>
      </w:r>
      <w:r w:rsidR="00BD567F">
        <w:rPr>
          <w:rFonts w:eastAsia="Times New Roman"/>
          <w:lang w:val="fr-FR"/>
        </w:rPr>
        <w:t>ée</w:t>
      </w:r>
      <w:r w:rsidRPr="008D2B82">
        <w:rPr>
          <w:rFonts w:eastAsia="Times New Roman"/>
          <w:lang w:val="fr-FR"/>
        </w:rPr>
        <w:t>. Dans ce contexte, elle peut formuler plusieurs options dont le choix et l</w:t>
      </w:r>
      <w:r w:rsidR="00603708">
        <w:rPr>
          <w:rFonts w:eastAsia="Times New Roman"/>
          <w:lang w:val="fr-FR"/>
        </w:rPr>
        <w:t>’</w:t>
      </w:r>
      <w:r w:rsidRPr="008D2B82">
        <w:rPr>
          <w:rFonts w:eastAsia="Times New Roman"/>
          <w:lang w:val="fr-FR"/>
        </w:rPr>
        <w:t>accomplissement restent à la discrétion de l</w:t>
      </w:r>
      <w:r w:rsidR="00603708">
        <w:rPr>
          <w:rFonts w:eastAsia="Times New Roman"/>
          <w:lang w:val="fr-FR"/>
        </w:rPr>
        <w:t>’</w:t>
      </w:r>
      <w:r w:rsidRPr="008D2B82">
        <w:rPr>
          <w:rFonts w:eastAsia="Times New Roman"/>
          <w:lang w:val="fr-FR"/>
        </w:rPr>
        <w:t>État concerné</w:t>
      </w:r>
      <w:r w:rsidRPr="008D2B82">
        <w:rPr>
          <w:rFonts w:eastAsia="Times New Roman"/>
          <w:szCs w:val="24"/>
          <w:lang w:val="fr-FR"/>
        </w:rPr>
        <w:t xml:space="preserve"> (voir, par exemple, </w:t>
      </w:r>
      <w:r w:rsidRPr="008D2B82">
        <w:rPr>
          <w:rFonts w:eastAsia="Times New Roman"/>
          <w:i/>
          <w:iCs/>
          <w:szCs w:val="24"/>
          <w:lang w:val="fr-FR"/>
        </w:rPr>
        <w:t xml:space="preserve">Broniowski c. Pologne </w:t>
      </w:r>
      <w:r w:rsidRPr="008D2B82">
        <w:rPr>
          <w:rFonts w:eastAsia="Times New Roman"/>
          <w:szCs w:val="24"/>
          <w:lang w:val="fr-FR"/>
        </w:rPr>
        <w:t xml:space="preserve">[GC], </w:t>
      </w:r>
      <w:r w:rsidR="0056652A" w:rsidRPr="008D2B82">
        <w:rPr>
          <w:rFonts w:eastAsia="Times New Roman"/>
          <w:szCs w:val="24"/>
          <w:lang w:val="fr-FR"/>
        </w:rPr>
        <w:t>n</w:t>
      </w:r>
      <w:r w:rsidR="0056652A" w:rsidRPr="008D2B82">
        <w:rPr>
          <w:rFonts w:eastAsia="Times New Roman"/>
          <w:szCs w:val="24"/>
          <w:vertAlign w:val="superscript"/>
          <w:lang w:val="fr-FR"/>
        </w:rPr>
        <w:t>o</w:t>
      </w:r>
      <w:r w:rsidR="0056652A">
        <w:rPr>
          <w:rFonts w:eastAsia="Times New Roman"/>
          <w:szCs w:val="24"/>
          <w:vertAlign w:val="superscript"/>
          <w:lang w:val="fr-FR"/>
        </w:rPr>
        <w:t> </w:t>
      </w:r>
      <w:r w:rsidRPr="008D2B82">
        <w:rPr>
          <w:rFonts w:eastAsia="Times New Roman"/>
          <w:szCs w:val="24"/>
          <w:lang w:val="fr-FR"/>
        </w:rPr>
        <w:t>31443/96, § 194, CEDH 2004</w:t>
      </w:r>
      <w:r w:rsidRPr="008D2B82">
        <w:rPr>
          <w:rFonts w:eastAsia="Times New Roman"/>
          <w:szCs w:val="24"/>
          <w:lang w:val="fr-FR"/>
        </w:rPr>
        <w:noBreakHyphen/>
        <w:t xml:space="preserve">V). </w:t>
      </w:r>
      <w:r w:rsidR="0056652A">
        <w:rPr>
          <w:rFonts w:eastAsia="Times New Roman"/>
          <w:szCs w:val="24"/>
          <w:lang w:val="fr-FR"/>
        </w:rPr>
        <w:t>Parfois, lorsque</w:t>
      </w:r>
      <w:r w:rsidRPr="008D2B82">
        <w:rPr>
          <w:rFonts w:eastAsia="Times New Roman"/>
          <w:szCs w:val="24"/>
          <w:lang w:val="fr-FR"/>
        </w:rPr>
        <w:t xml:space="preserve"> la nature même de la violation constatée n</w:t>
      </w:r>
      <w:r w:rsidR="00603708">
        <w:rPr>
          <w:rFonts w:eastAsia="Times New Roman"/>
          <w:szCs w:val="24"/>
          <w:lang w:val="fr-FR"/>
        </w:rPr>
        <w:t>’</w:t>
      </w:r>
      <w:r w:rsidRPr="008D2B82">
        <w:rPr>
          <w:rFonts w:eastAsia="Times New Roman"/>
          <w:szCs w:val="24"/>
          <w:lang w:val="fr-FR"/>
        </w:rPr>
        <w:t>offre pas réellement de choix parmi différents types de mesure</w:t>
      </w:r>
      <w:r w:rsidR="0056652A">
        <w:rPr>
          <w:rFonts w:eastAsia="Times New Roman"/>
          <w:szCs w:val="24"/>
          <w:lang w:val="fr-FR"/>
        </w:rPr>
        <w:t>s susceptibles d</w:t>
      </w:r>
      <w:r w:rsidR="00603708">
        <w:rPr>
          <w:rFonts w:eastAsia="Times New Roman"/>
          <w:szCs w:val="24"/>
          <w:lang w:val="fr-FR"/>
        </w:rPr>
        <w:t>’</w:t>
      </w:r>
      <w:r w:rsidRPr="008D2B82">
        <w:rPr>
          <w:rFonts w:eastAsia="Times New Roman"/>
          <w:szCs w:val="24"/>
          <w:lang w:val="fr-FR"/>
        </w:rPr>
        <w:t>y remédier, la Cour peut décider de n</w:t>
      </w:r>
      <w:r w:rsidR="00603708">
        <w:rPr>
          <w:rFonts w:eastAsia="Times New Roman"/>
          <w:szCs w:val="24"/>
          <w:lang w:val="fr-FR"/>
        </w:rPr>
        <w:t>’</w:t>
      </w:r>
      <w:r w:rsidRPr="008D2B82">
        <w:rPr>
          <w:rFonts w:eastAsia="Times New Roman"/>
          <w:szCs w:val="24"/>
          <w:lang w:val="fr-FR"/>
        </w:rPr>
        <w:t>indiquer qu</w:t>
      </w:r>
      <w:r w:rsidR="00603708">
        <w:rPr>
          <w:rFonts w:eastAsia="Times New Roman"/>
          <w:szCs w:val="24"/>
          <w:lang w:val="fr-FR"/>
        </w:rPr>
        <w:t>’</w:t>
      </w:r>
      <w:r w:rsidRPr="008D2B82">
        <w:rPr>
          <w:rFonts w:eastAsia="Times New Roman"/>
          <w:szCs w:val="24"/>
          <w:lang w:val="fr-FR"/>
        </w:rPr>
        <w:t xml:space="preserve">une seule mesure (voir, </w:t>
      </w:r>
      <w:r w:rsidRPr="008D2B82">
        <w:rPr>
          <w:rFonts w:eastAsia="Times New Roman"/>
          <w:lang w:val="fr-FR"/>
        </w:rPr>
        <w:t xml:space="preserve">par exemple, </w:t>
      </w:r>
      <w:r w:rsidRPr="008D2B82">
        <w:rPr>
          <w:rFonts w:ascii="Times New Roman" w:eastAsia="Times New Roman" w:hAnsi="Times New Roman" w:cs="Times New Roman"/>
          <w:i/>
          <w:lang w:val="fr-FR"/>
        </w:rPr>
        <w:t>Del Rio Prada</w:t>
      </w:r>
      <w:r w:rsidRPr="008D2B82">
        <w:rPr>
          <w:rFonts w:ascii="Times New Roman" w:eastAsia="Times New Roman" w:hAnsi="Times New Roman" w:cs="Times New Roman"/>
          <w:lang w:val="fr-FR"/>
        </w:rPr>
        <w:t>,</w:t>
      </w:r>
      <w:r w:rsidRPr="008D2B82">
        <w:rPr>
          <w:rFonts w:ascii="Times New Roman" w:eastAsia="Times New Roman" w:hAnsi="Times New Roman" w:cs="Times New Roman"/>
          <w:i/>
          <w:lang w:val="fr-FR"/>
        </w:rPr>
        <w:t xml:space="preserve"> </w:t>
      </w:r>
      <w:r w:rsidRPr="008D2B82">
        <w:rPr>
          <w:rFonts w:ascii="Times New Roman" w:eastAsia="Times New Roman" w:hAnsi="Times New Roman" w:cs="Times New Roman"/>
          <w:lang w:val="fr-FR"/>
        </w:rPr>
        <w:t xml:space="preserve">précité, § 138, </w:t>
      </w:r>
      <w:r w:rsidRPr="008D2B82">
        <w:rPr>
          <w:rFonts w:eastAsia="Times New Roman"/>
          <w:i/>
          <w:lang w:val="fr-FR"/>
        </w:rPr>
        <w:t>Assanidzé</w:t>
      </w:r>
      <w:r w:rsidRPr="008D2B82">
        <w:rPr>
          <w:rFonts w:eastAsia="Times New Roman"/>
          <w:lang w:val="fr-FR"/>
        </w:rPr>
        <w:t xml:space="preserve">, précité, §§ 202 et 203, </w:t>
      </w:r>
      <w:r w:rsidRPr="008D2B82">
        <w:rPr>
          <w:rFonts w:eastAsia="Times New Roman"/>
          <w:i/>
          <w:lang w:val="fr-FR"/>
        </w:rPr>
        <w:t>Alexanian c. Russie</w:t>
      </w:r>
      <w:r w:rsidRPr="008D2B82">
        <w:rPr>
          <w:rFonts w:eastAsia="Times New Roman"/>
          <w:lang w:val="fr-FR"/>
        </w:rPr>
        <w:t>, n</w:t>
      </w:r>
      <w:r w:rsidRPr="008D2B82">
        <w:rPr>
          <w:rFonts w:eastAsia="Times New Roman"/>
          <w:vertAlign w:val="superscript"/>
          <w:lang w:val="fr-FR"/>
        </w:rPr>
        <w:t xml:space="preserve">o </w:t>
      </w:r>
      <w:r w:rsidRPr="008D2B82">
        <w:rPr>
          <w:rFonts w:eastAsia="Times New Roman"/>
          <w:lang w:val="fr-FR"/>
        </w:rPr>
        <w:t xml:space="preserve">46468/06, § 240, 22 décembre 2008, </w:t>
      </w:r>
      <w:r w:rsidRPr="008D2B82">
        <w:rPr>
          <w:rFonts w:eastAsia="Times New Roman"/>
          <w:i/>
          <w:lang w:val="fr-FR"/>
        </w:rPr>
        <w:t>Fatullayev c. Azerbaïdjan</w:t>
      </w:r>
      <w:r w:rsidRPr="008D2B82">
        <w:rPr>
          <w:rFonts w:eastAsia="Times New Roman"/>
          <w:lang w:val="fr-FR"/>
        </w:rPr>
        <w:t>, n</w:t>
      </w:r>
      <w:r w:rsidRPr="008D2B82">
        <w:rPr>
          <w:rFonts w:eastAsia="Times New Roman"/>
          <w:vertAlign w:val="superscript"/>
          <w:lang w:val="fr-FR"/>
        </w:rPr>
        <w:t xml:space="preserve">o </w:t>
      </w:r>
      <w:r w:rsidRPr="008D2B82">
        <w:rPr>
          <w:rFonts w:eastAsia="Times New Roman"/>
          <w:lang w:val="fr-FR"/>
        </w:rPr>
        <w:t>40984/07</w:t>
      </w:r>
      <w:r w:rsidRPr="008D2B82">
        <w:rPr>
          <w:rFonts w:eastAsia="Times New Roman"/>
          <w:snapToGrid w:val="0"/>
          <w:lang w:val="fr-FR"/>
        </w:rPr>
        <w:t xml:space="preserve">, §§ 176 et 177, 22 avril 2010, et </w:t>
      </w:r>
      <w:r w:rsidRPr="008D2B82">
        <w:rPr>
          <w:rFonts w:eastAsia="Times New Roman"/>
          <w:i/>
          <w:lang w:val="fr-FR"/>
        </w:rPr>
        <w:t>Oleksandr</w:t>
      </w:r>
      <w:r w:rsidRPr="008D2B82">
        <w:rPr>
          <w:rFonts w:eastAsia="Times New Roman"/>
          <w:lang w:val="fr-FR"/>
        </w:rPr>
        <w:t xml:space="preserve"> </w:t>
      </w:r>
      <w:r w:rsidRPr="008D2B82">
        <w:rPr>
          <w:rFonts w:eastAsia="Times New Roman"/>
          <w:i/>
          <w:lang w:val="fr-FR"/>
        </w:rPr>
        <w:t>Volkov c. Ukraine</w:t>
      </w:r>
      <w:r w:rsidRPr="008D2B82">
        <w:rPr>
          <w:rFonts w:eastAsia="Times New Roman"/>
          <w:lang w:val="fr-FR"/>
        </w:rPr>
        <w:t>, n</w:t>
      </w:r>
      <w:r w:rsidRPr="008D2B82">
        <w:rPr>
          <w:rFonts w:eastAsia="Times New Roman"/>
          <w:vertAlign w:val="superscript"/>
          <w:lang w:val="fr-FR"/>
        </w:rPr>
        <w:t>o</w:t>
      </w:r>
      <w:r w:rsidRPr="008D2B82">
        <w:rPr>
          <w:rFonts w:eastAsia="Times New Roman"/>
          <w:lang w:val="fr-FR"/>
        </w:rPr>
        <w:t xml:space="preserve"> 21722/11, § 208, 9 janvier</w:t>
      </w:r>
      <w:r w:rsidR="00103852">
        <w:rPr>
          <w:rFonts w:eastAsia="Times New Roman"/>
          <w:lang w:val="fr-FR"/>
        </w:rPr>
        <w:t> </w:t>
      </w:r>
      <w:r w:rsidRPr="008D2B82">
        <w:rPr>
          <w:rFonts w:eastAsia="Times New Roman"/>
          <w:lang w:val="fr-FR"/>
        </w:rPr>
        <w:t>2013</w:t>
      </w:r>
      <w:r w:rsidRPr="008D2B82">
        <w:rPr>
          <w:rFonts w:eastAsia="Times New Roman"/>
          <w:snapToGrid w:val="0"/>
          <w:lang w:val="fr-FR"/>
        </w:rPr>
        <w:t>).</w:t>
      </w:r>
    </w:p>
    <w:p w:rsidR="00AB20F9" w:rsidRPr="00AB20F9" w:rsidRDefault="00AB20F9" w:rsidP="00AB20F9">
      <w:pPr>
        <w:pStyle w:val="ECHRHeading3"/>
        <w:rPr>
          <w:rFonts w:eastAsia="Times New Roman"/>
          <w:lang w:val="fr-FR"/>
        </w:rPr>
      </w:pPr>
      <w:r w:rsidRPr="00AB20F9">
        <w:rPr>
          <w:rFonts w:eastAsia="Times New Roman"/>
          <w:lang w:val="fr-FR"/>
        </w:rPr>
        <w:t>2.  Application de ces principes en l</w:t>
      </w:r>
      <w:r w:rsidR="00603708">
        <w:rPr>
          <w:rFonts w:eastAsia="Times New Roman"/>
          <w:lang w:val="fr-FR"/>
        </w:rPr>
        <w:t>’</w:t>
      </w:r>
      <w:r w:rsidRPr="00AB20F9">
        <w:rPr>
          <w:rFonts w:eastAsia="Times New Roman"/>
          <w:lang w:val="fr-FR"/>
        </w:rPr>
        <w:t>espèce</w:t>
      </w:r>
    </w:p>
    <w:p w:rsidR="0032468C" w:rsidRDefault="00AB20F9" w:rsidP="00B23D28">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242</w:t>
      </w:r>
      <w:r>
        <w:rPr>
          <w:lang w:val="fr-FR"/>
        </w:rPr>
        <w:fldChar w:fldCharType="end"/>
      </w:r>
      <w:r>
        <w:rPr>
          <w:lang w:val="fr-FR"/>
        </w:rPr>
        <w:t>.</w:t>
      </w:r>
      <w:r w:rsidR="00507C15">
        <w:rPr>
          <w:lang w:val="fr-FR"/>
        </w:rPr>
        <w:t>  </w:t>
      </w:r>
      <w:r w:rsidR="00BD567F">
        <w:rPr>
          <w:lang w:val="fr-FR"/>
        </w:rPr>
        <w:t>En l</w:t>
      </w:r>
      <w:r w:rsidR="00603708">
        <w:rPr>
          <w:lang w:val="fr-FR"/>
        </w:rPr>
        <w:t>’</w:t>
      </w:r>
      <w:r w:rsidR="00BD567F">
        <w:rPr>
          <w:lang w:val="fr-FR"/>
        </w:rPr>
        <w:t>espèce, l</w:t>
      </w:r>
      <w:r w:rsidR="00EE3F3A">
        <w:rPr>
          <w:lang w:val="fr-FR"/>
        </w:rPr>
        <w:t xml:space="preserve">a Cour observe que les autorités italiennes ont poursuivi les responsables des mauvais traitements litigieux </w:t>
      </w:r>
      <w:r w:rsidR="00507C15">
        <w:rPr>
          <w:lang w:val="fr-FR"/>
        </w:rPr>
        <w:t xml:space="preserve">du chef </w:t>
      </w:r>
      <w:r w:rsidR="005923EA">
        <w:rPr>
          <w:lang w:val="fr-FR"/>
        </w:rPr>
        <w:t>de plusieurs délits déjà inscrits dans la législation pénale italienne.</w:t>
      </w:r>
    </w:p>
    <w:p w:rsidR="0032468C" w:rsidRPr="00197767" w:rsidRDefault="005923EA" w:rsidP="00197767">
      <w:pPr>
        <w:pStyle w:val="ECHRPara"/>
        <w:rPr>
          <w:b/>
          <w:strike/>
          <w:lang w:val="fr-FR"/>
        </w:rPr>
      </w:pPr>
      <w:r>
        <w:rPr>
          <w:lang w:val="fr-FR"/>
        </w:rPr>
        <w:t>Toutefois, d</w:t>
      </w:r>
      <w:r w:rsidR="003729AB">
        <w:rPr>
          <w:lang w:val="fr-FR"/>
        </w:rPr>
        <w:t xml:space="preserve">ans </w:t>
      </w:r>
      <w:r w:rsidR="004E48CB">
        <w:rPr>
          <w:lang w:val="fr-FR"/>
        </w:rPr>
        <w:t>le cadre de son analyse concernant le respect des obligations procédurales découlant de l</w:t>
      </w:r>
      <w:r w:rsidR="00603708">
        <w:rPr>
          <w:lang w:val="fr-FR"/>
        </w:rPr>
        <w:t>’</w:t>
      </w:r>
      <w:r w:rsidR="004E48CB">
        <w:rPr>
          <w:lang w:val="fr-FR"/>
        </w:rPr>
        <w:t>article 3</w:t>
      </w:r>
      <w:r w:rsidR="00507C15">
        <w:rPr>
          <w:lang w:val="fr-FR"/>
        </w:rPr>
        <w:t xml:space="preserve"> de la Convention</w:t>
      </w:r>
      <w:r w:rsidR="004E48CB">
        <w:rPr>
          <w:lang w:val="fr-FR"/>
        </w:rPr>
        <w:t xml:space="preserve">, </w:t>
      </w:r>
      <w:r w:rsidR="00772D16">
        <w:rPr>
          <w:lang w:val="fr-FR"/>
        </w:rPr>
        <w:t xml:space="preserve">la Cour a </w:t>
      </w:r>
      <w:r w:rsidR="00041F0D">
        <w:rPr>
          <w:lang w:val="fr-FR"/>
        </w:rPr>
        <w:t>jugé</w:t>
      </w:r>
      <w:r w:rsidR="00772D16">
        <w:rPr>
          <w:lang w:val="fr-FR"/>
        </w:rPr>
        <w:t xml:space="preserve"> que</w:t>
      </w:r>
      <w:r w:rsidR="00197767">
        <w:rPr>
          <w:lang w:val="fr-FR"/>
        </w:rPr>
        <w:t xml:space="preserve"> </w:t>
      </w:r>
      <w:r w:rsidR="00EC595B" w:rsidRPr="00103852">
        <w:rPr>
          <w:lang w:val="fr-FR"/>
        </w:rPr>
        <w:t>la réaction des autorités n</w:t>
      </w:r>
      <w:r w:rsidR="00603708">
        <w:rPr>
          <w:lang w:val="fr-FR"/>
        </w:rPr>
        <w:t>’</w:t>
      </w:r>
      <w:r w:rsidR="00EC595B" w:rsidRPr="00103852">
        <w:rPr>
          <w:lang w:val="fr-FR"/>
        </w:rPr>
        <w:t>a pas été adéquate</w:t>
      </w:r>
      <w:r w:rsidR="00BD567F">
        <w:rPr>
          <w:lang w:val="fr-FR"/>
        </w:rPr>
        <w:t xml:space="preserve"> </w:t>
      </w:r>
      <w:r w:rsidR="00772D16">
        <w:rPr>
          <w:lang w:val="fr-FR"/>
        </w:rPr>
        <w:t>(</w:t>
      </w:r>
      <w:r w:rsidR="00772D16" w:rsidRPr="00AC0DAF">
        <w:rPr>
          <w:lang w:val="fr-FR"/>
        </w:rPr>
        <w:t>paragraphe</w:t>
      </w:r>
      <w:r w:rsidR="001F797F" w:rsidRPr="00AC0DAF">
        <w:rPr>
          <w:lang w:val="fr-FR"/>
        </w:rPr>
        <w:t>s</w:t>
      </w:r>
      <w:r w:rsidR="00772D16" w:rsidRPr="00AC0DAF">
        <w:rPr>
          <w:lang w:val="fr-FR"/>
        </w:rPr>
        <w:t xml:space="preserve"> </w:t>
      </w:r>
      <w:r w:rsidR="002613BB" w:rsidRPr="00AC0DAF">
        <w:rPr>
          <w:lang w:val="fr-FR"/>
        </w:rPr>
        <w:t>219-222</w:t>
      </w:r>
      <w:r w:rsidR="00772D16" w:rsidRPr="00AC0DAF">
        <w:rPr>
          <w:lang w:val="fr-FR"/>
        </w:rPr>
        <w:t xml:space="preserve"> ci-dessus</w:t>
      </w:r>
      <w:r w:rsidR="00772D16">
        <w:rPr>
          <w:lang w:val="fr-FR"/>
        </w:rPr>
        <w:t xml:space="preserve">). </w:t>
      </w:r>
      <w:r w:rsidR="0056652A">
        <w:rPr>
          <w:lang w:val="fr-FR"/>
        </w:rPr>
        <w:t>Ayant</w:t>
      </w:r>
      <w:r w:rsidR="008A0E8B">
        <w:rPr>
          <w:lang w:val="fr-FR"/>
        </w:rPr>
        <w:t> </w:t>
      </w:r>
      <w:r w:rsidR="0056652A">
        <w:rPr>
          <w:lang w:val="fr-FR"/>
        </w:rPr>
        <w:t>écarté toute</w:t>
      </w:r>
      <w:r w:rsidR="006E32AD">
        <w:rPr>
          <w:lang w:val="fr-FR"/>
        </w:rPr>
        <w:t xml:space="preserve"> négligence ou complaisance du parquet ou des juridictions de jugement, </w:t>
      </w:r>
      <w:r w:rsidR="00947027">
        <w:rPr>
          <w:lang w:val="fr-FR"/>
        </w:rPr>
        <w:t xml:space="preserve">elle </w:t>
      </w:r>
      <w:r w:rsidR="004E48CB">
        <w:rPr>
          <w:lang w:val="fr-FR"/>
        </w:rPr>
        <w:t>a conclu que</w:t>
      </w:r>
      <w:r w:rsidR="003729AB">
        <w:rPr>
          <w:lang w:val="fr-FR"/>
        </w:rPr>
        <w:t xml:space="preserve"> </w:t>
      </w:r>
      <w:r w:rsidR="00505A08">
        <w:rPr>
          <w:lang w:val="fr-FR"/>
        </w:rPr>
        <w:t>c</w:t>
      </w:r>
      <w:r w:rsidR="00603708">
        <w:rPr>
          <w:lang w:val="fr-FR"/>
        </w:rPr>
        <w:t>’</w:t>
      </w:r>
      <w:r w:rsidR="00505A08">
        <w:rPr>
          <w:lang w:val="fr-FR"/>
        </w:rPr>
        <w:t xml:space="preserve">est </w:t>
      </w:r>
      <w:r w:rsidR="006E32AD">
        <w:rPr>
          <w:lang w:val="fr-FR"/>
        </w:rPr>
        <w:t>l</w:t>
      </w:r>
      <w:r w:rsidR="003729AB" w:rsidRPr="004A51F8">
        <w:rPr>
          <w:lang w:val="fr-FR"/>
        </w:rPr>
        <w:t xml:space="preserve">a </w:t>
      </w:r>
      <w:r w:rsidR="003729AB" w:rsidRPr="00A66FAA">
        <w:rPr>
          <w:lang w:val="fr-FR"/>
        </w:rPr>
        <w:t>législation pénale italienne</w:t>
      </w:r>
      <w:r w:rsidR="006E32AD">
        <w:rPr>
          <w:lang w:val="fr-FR"/>
        </w:rPr>
        <w:t xml:space="preserve"> appliquée en l</w:t>
      </w:r>
      <w:r w:rsidR="00603708">
        <w:rPr>
          <w:lang w:val="fr-FR"/>
        </w:rPr>
        <w:t>’</w:t>
      </w:r>
      <w:r w:rsidR="006E32AD">
        <w:rPr>
          <w:lang w:val="fr-FR"/>
        </w:rPr>
        <w:t xml:space="preserve">espèce </w:t>
      </w:r>
      <w:r w:rsidR="00505A08">
        <w:rPr>
          <w:lang w:val="fr-FR"/>
        </w:rPr>
        <w:t xml:space="preserve">qui </w:t>
      </w:r>
      <w:r w:rsidR="006E32AD">
        <w:rPr>
          <w:lang w:val="fr-FR"/>
        </w:rPr>
        <w:t>« s</w:t>
      </w:r>
      <w:r w:rsidR="00603708">
        <w:rPr>
          <w:lang w:val="fr-FR"/>
        </w:rPr>
        <w:t>’</w:t>
      </w:r>
      <w:r w:rsidR="006E32AD">
        <w:rPr>
          <w:lang w:val="fr-FR"/>
        </w:rPr>
        <w:t xml:space="preserve">est </w:t>
      </w:r>
      <w:r w:rsidR="002A12AE">
        <w:rPr>
          <w:lang w:val="fr-FR"/>
        </w:rPr>
        <w:t xml:space="preserve">révélée </w:t>
      </w:r>
      <w:r w:rsidR="003729AB" w:rsidRPr="004A51F8">
        <w:rPr>
          <w:lang w:val="fr-FR"/>
        </w:rPr>
        <w:t>à la fois</w:t>
      </w:r>
      <w:r w:rsidR="003729AB" w:rsidRPr="00A66FAA">
        <w:rPr>
          <w:lang w:val="fr-FR"/>
        </w:rPr>
        <w:t xml:space="preserve"> inadéquate</w:t>
      </w:r>
      <w:r w:rsidR="003729AB" w:rsidRPr="004A51F8">
        <w:rPr>
          <w:lang w:val="fr-FR"/>
        </w:rPr>
        <w:t xml:space="preserve"> par rapport à l</w:t>
      </w:r>
      <w:r w:rsidR="00603708">
        <w:rPr>
          <w:lang w:val="fr-FR"/>
        </w:rPr>
        <w:t>’</w:t>
      </w:r>
      <w:r w:rsidR="003729AB" w:rsidRPr="004A51F8">
        <w:rPr>
          <w:lang w:val="fr-FR"/>
        </w:rPr>
        <w:t xml:space="preserve">exigence de sanction des </w:t>
      </w:r>
      <w:r w:rsidR="003729AB">
        <w:rPr>
          <w:lang w:val="fr-FR"/>
        </w:rPr>
        <w:t>actes de torture</w:t>
      </w:r>
      <w:r w:rsidR="003729AB" w:rsidRPr="004A51F8">
        <w:rPr>
          <w:lang w:val="fr-FR"/>
        </w:rPr>
        <w:t xml:space="preserve"> </w:t>
      </w:r>
      <w:r w:rsidR="003729AB">
        <w:rPr>
          <w:lang w:val="fr-FR"/>
        </w:rPr>
        <w:t>en question</w:t>
      </w:r>
      <w:r w:rsidR="003729AB" w:rsidRPr="004A51F8">
        <w:rPr>
          <w:lang w:val="fr-FR"/>
        </w:rPr>
        <w:t xml:space="preserve"> et </w:t>
      </w:r>
      <w:r w:rsidR="003729AB">
        <w:rPr>
          <w:lang w:val="fr-FR"/>
        </w:rPr>
        <w:t>dépourvue de l</w:t>
      </w:r>
      <w:r w:rsidR="00603708">
        <w:rPr>
          <w:lang w:val="fr-FR"/>
        </w:rPr>
        <w:t>’</w:t>
      </w:r>
      <w:r w:rsidR="003729AB" w:rsidRPr="00A66FAA">
        <w:rPr>
          <w:lang w:val="fr-FR"/>
        </w:rPr>
        <w:t>effet dissuasif nécessaire</w:t>
      </w:r>
      <w:r w:rsidR="003729AB" w:rsidRPr="004A51F8">
        <w:rPr>
          <w:lang w:val="fr-FR"/>
        </w:rPr>
        <w:t xml:space="preserve"> pour </w:t>
      </w:r>
      <w:r w:rsidR="003729AB">
        <w:rPr>
          <w:lang w:val="fr-FR"/>
        </w:rPr>
        <w:t>prévenir d</w:t>
      </w:r>
      <w:r w:rsidR="00603708">
        <w:rPr>
          <w:lang w:val="fr-FR"/>
        </w:rPr>
        <w:t>’</w:t>
      </w:r>
      <w:r w:rsidR="003729AB">
        <w:rPr>
          <w:lang w:val="fr-FR"/>
        </w:rPr>
        <w:t>autres violations similaires de l</w:t>
      </w:r>
      <w:r w:rsidR="00603708">
        <w:rPr>
          <w:lang w:val="fr-FR"/>
        </w:rPr>
        <w:t>’</w:t>
      </w:r>
      <w:r w:rsidR="003729AB">
        <w:rPr>
          <w:lang w:val="fr-FR"/>
        </w:rPr>
        <w:t>article 3</w:t>
      </w:r>
      <w:r w:rsidR="003729AB" w:rsidRPr="004A51F8">
        <w:rPr>
          <w:lang w:val="fr-FR"/>
        </w:rPr>
        <w:t xml:space="preserve"> </w:t>
      </w:r>
      <w:r w:rsidR="003729AB">
        <w:rPr>
          <w:lang w:val="fr-FR"/>
        </w:rPr>
        <w:t>à l</w:t>
      </w:r>
      <w:r w:rsidR="00603708">
        <w:rPr>
          <w:lang w:val="fr-FR"/>
        </w:rPr>
        <w:t>’</w:t>
      </w:r>
      <w:r w:rsidR="003729AB" w:rsidRPr="004A51F8">
        <w:rPr>
          <w:lang w:val="fr-FR"/>
        </w:rPr>
        <w:t>avenir</w:t>
      </w:r>
      <w:r w:rsidR="004E48CB">
        <w:rPr>
          <w:lang w:val="fr-FR"/>
        </w:rPr>
        <w:t> »</w:t>
      </w:r>
      <w:r w:rsidR="003C365E">
        <w:rPr>
          <w:lang w:val="fr-FR"/>
        </w:rPr>
        <w:t xml:space="preserve"> (</w:t>
      </w:r>
      <w:r w:rsidR="003C365E" w:rsidRPr="00AC0DAF">
        <w:rPr>
          <w:lang w:val="fr-FR"/>
        </w:rPr>
        <w:t>paragraphe</w:t>
      </w:r>
      <w:r w:rsidR="002613BB" w:rsidRPr="00AC0DAF">
        <w:rPr>
          <w:lang w:val="fr-FR"/>
        </w:rPr>
        <w:t>s</w:t>
      </w:r>
      <w:r w:rsidR="003C365E" w:rsidRPr="00AC0DAF">
        <w:rPr>
          <w:lang w:val="fr-FR"/>
        </w:rPr>
        <w:t xml:space="preserve"> </w:t>
      </w:r>
      <w:r w:rsidR="00772D16" w:rsidRPr="00AC0DAF">
        <w:rPr>
          <w:lang w:val="fr-FR"/>
        </w:rPr>
        <w:t>22</w:t>
      </w:r>
      <w:r w:rsidR="002613BB" w:rsidRPr="00AC0DAF">
        <w:rPr>
          <w:lang w:val="fr-FR"/>
        </w:rPr>
        <w:t>3-225</w:t>
      </w:r>
      <w:r w:rsidR="00772D16" w:rsidRPr="00AC0DAF">
        <w:rPr>
          <w:lang w:val="fr-FR"/>
        </w:rPr>
        <w:t xml:space="preserve"> ci-dessus</w:t>
      </w:r>
      <w:r w:rsidR="00772D16">
        <w:rPr>
          <w:lang w:val="fr-FR"/>
        </w:rPr>
        <w:t>).</w:t>
      </w:r>
    </w:p>
    <w:p w:rsidR="0032468C" w:rsidRDefault="006E32AD" w:rsidP="00772D16">
      <w:pPr>
        <w:pStyle w:val="ECHRPara"/>
        <w:rPr>
          <w:lang w:val="fr-FR"/>
        </w:rPr>
      </w:pPr>
      <w:r>
        <w:rPr>
          <w:lang w:val="fr-FR"/>
        </w:rPr>
        <w:t>Le caractère structurel du problème semble</w:t>
      </w:r>
      <w:r w:rsidR="00B600EE">
        <w:rPr>
          <w:lang w:val="fr-FR"/>
        </w:rPr>
        <w:t xml:space="preserve"> ainsi</w:t>
      </w:r>
      <w:r>
        <w:rPr>
          <w:lang w:val="fr-FR"/>
        </w:rPr>
        <w:t xml:space="preserve"> indéniable.</w:t>
      </w:r>
      <w:r w:rsidR="00041F0D">
        <w:rPr>
          <w:lang w:val="fr-FR"/>
        </w:rPr>
        <w:t xml:space="preserve"> D</w:t>
      </w:r>
      <w:r w:rsidR="00603708">
        <w:rPr>
          <w:lang w:val="fr-FR"/>
        </w:rPr>
        <w:t>’</w:t>
      </w:r>
      <w:r w:rsidR="00041F0D">
        <w:rPr>
          <w:lang w:val="fr-FR"/>
        </w:rPr>
        <w:t>ailleurs,</w:t>
      </w:r>
      <w:r w:rsidR="00434286">
        <w:rPr>
          <w:lang w:val="fr-FR"/>
        </w:rPr>
        <w:t> </w:t>
      </w:r>
      <w:r w:rsidR="00505A08">
        <w:rPr>
          <w:lang w:val="fr-FR"/>
        </w:rPr>
        <w:t>eu égard aux</w:t>
      </w:r>
      <w:r w:rsidR="00041F0D">
        <w:rPr>
          <w:lang w:val="fr-FR"/>
        </w:rPr>
        <w:t xml:space="preserve"> principes posés par sa jurisprudence </w:t>
      </w:r>
      <w:r w:rsidR="00505A08">
        <w:rPr>
          <w:lang w:val="fr-FR"/>
        </w:rPr>
        <w:t>concernant le</w:t>
      </w:r>
      <w:r w:rsidR="00041F0D">
        <w:rPr>
          <w:lang w:val="fr-FR"/>
        </w:rPr>
        <w:t xml:space="preserve"> volet procédural de l</w:t>
      </w:r>
      <w:r w:rsidR="00603708">
        <w:rPr>
          <w:lang w:val="fr-FR"/>
        </w:rPr>
        <w:t>’</w:t>
      </w:r>
      <w:r w:rsidR="00041F0D">
        <w:rPr>
          <w:lang w:val="fr-FR"/>
        </w:rPr>
        <w:t>article 3 (</w:t>
      </w:r>
      <w:r w:rsidR="00041F0D" w:rsidRPr="00AC0DAF">
        <w:rPr>
          <w:lang w:val="fr-FR"/>
        </w:rPr>
        <w:t xml:space="preserve">paragraphes </w:t>
      </w:r>
      <w:r w:rsidR="002613BB" w:rsidRPr="00AC0DAF">
        <w:rPr>
          <w:lang w:val="fr-FR"/>
        </w:rPr>
        <w:t>204-211</w:t>
      </w:r>
      <w:r w:rsidR="00947027" w:rsidRPr="00AC0DAF">
        <w:rPr>
          <w:lang w:val="fr-FR"/>
        </w:rPr>
        <w:t xml:space="preserve"> ci-dessus</w:t>
      </w:r>
      <w:r w:rsidR="00041F0D">
        <w:rPr>
          <w:lang w:val="fr-FR"/>
        </w:rPr>
        <w:t xml:space="preserve">) et </w:t>
      </w:r>
      <w:r w:rsidR="00505A08">
        <w:rPr>
          <w:lang w:val="fr-FR"/>
        </w:rPr>
        <w:t>aux motifs</w:t>
      </w:r>
      <w:r w:rsidR="00041F0D">
        <w:rPr>
          <w:lang w:val="fr-FR"/>
        </w:rPr>
        <w:t xml:space="preserve"> qu</w:t>
      </w:r>
      <w:r w:rsidR="00B600EE">
        <w:rPr>
          <w:lang w:val="fr-FR"/>
        </w:rPr>
        <w:t xml:space="preserve">i </w:t>
      </w:r>
      <w:r w:rsidR="00041F0D">
        <w:rPr>
          <w:lang w:val="fr-FR"/>
        </w:rPr>
        <w:t>l</w:t>
      </w:r>
      <w:r w:rsidR="00603708">
        <w:rPr>
          <w:lang w:val="fr-FR"/>
        </w:rPr>
        <w:t>’</w:t>
      </w:r>
      <w:r w:rsidR="00041F0D">
        <w:rPr>
          <w:lang w:val="fr-FR"/>
        </w:rPr>
        <w:t xml:space="preserve">ont amenée </w:t>
      </w:r>
      <w:r w:rsidR="00B600EE">
        <w:rPr>
          <w:lang w:val="fr-FR"/>
        </w:rPr>
        <w:t>en l</w:t>
      </w:r>
      <w:r w:rsidR="00603708">
        <w:rPr>
          <w:lang w:val="fr-FR"/>
        </w:rPr>
        <w:t>’</w:t>
      </w:r>
      <w:r w:rsidR="00B600EE">
        <w:rPr>
          <w:lang w:val="fr-FR"/>
        </w:rPr>
        <w:t xml:space="preserve">espèce </w:t>
      </w:r>
      <w:r w:rsidR="00041F0D">
        <w:rPr>
          <w:lang w:val="fr-FR"/>
        </w:rPr>
        <w:t xml:space="preserve">à juger disproportionnée la sanction infligée, la Cour estime que ce problème </w:t>
      </w:r>
      <w:r w:rsidR="00505A08">
        <w:rPr>
          <w:lang w:val="fr-FR"/>
        </w:rPr>
        <w:t>se pose non seulement</w:t>
      </w:r>
      <w:r w:rsidR="00041F0D">
        <w:rPr>
          <w:lang w:val="fr-FR"/>
        </w:rPr>
        <w:t xml:space="preserve"> </w:t>
      </w:r>
      <w:r w:rsidR="00505A08">
        <w:rPr>
          <w:lang w:val="fr-FR"/>
        </w:rPr>
        <w:t>pour</w:t>
      </w:r>
      <w:r w:rsidR="00331E6C">
        <w:rPr>
          <w:lang w:val="fr-FR"/>
        </w:rPr>
        <w:t xml:space="preserve"> la répression des actes de torture </w:t>
      </w:r>
      <w:r w:rsidR="00505A08">
        <w:rPr>
          <w:lang w:val="fr-FR"/>
        </w:rPr>
        <w:t>mais</w:t>
      </w:r>
      <w:r w:rsidR="00331E6C">
        <w:rPr>
          <w:lang w:val="fr-FR"/>
        </w:rPr>
        <w:t xml:space="preserve"> </w:t>
      </w:r>
      <w:r w:rsidR="0056652A">
        <w:rPr>
          <w:lang w:val="fr-FR"/>
        </w:rPr>
        <w:t xml:space="preserve">aussi </w:t>
      </w:r>
      <w:r w:rsidR="00505A08">
        <w:rPr>
          <w:lang w:val="fr-FR"/>
        </w:rPr>
        <w:t>pour les</w:t>
      </w:r>
      <w:r w:rsidR="00331E6C">
        <w:rPr>
          <w:lang w:val="fr-FR"/>
        </w:rPr>
        <w:t xml:space="preserve"> autres mauvais traitements interdits par l</w:t>
      </w:r>
      <w:r w:rsidR="00603708">
        <w:rPr>
          <w:lang w:val="fr-FR"/>
        </w:rPr>
        <w:t>’</w:t>
      </w:r>
      <w:r w:rsidR="00331E6C">
        <w:rPr>
          <w:lang w:val="fr-FR"/>
        </w:rPr>
        <w:t>article 3</w:t>
      </w:r>
      <w:r w:rsidR="00B600EE">
        <w:rPr>
          <w:lang w:val="fr-FR"/>
        </w:rPr>
        <w:t> :</w:t>
      </w:r>
      <w:r w:rsidR="00331E6C">
        <w:rPr>
          <w:lang w:val="fr-FR"/>
        </w:rPr>
        <w:t xml:space="preserve"> en l</w:t>
      </w:r>
      <w:r w:rsidR="00603708">
        <w:rPr>
          <w:lang w:val="fr-FR"/>
        </w:rPr>
        <w:t>’</w:t>
      </w:r>
      <w:r w:rsidR="00331E6C">
        <w:rPr>
          <w:lang w:val="fr-FR"/>
        </w:rPr>
        <w:t>absence d</w:t>
      </w:r>
      <w:r w:rsidR="00603708">
        <w:rPr>
          <w:lang w:val="fr-FR"/>
        </w:rPr>
        <w:t>’</w:t>
      </w:r>
      <w:r w:rsidR="00331E6C">
        <w:rPr>
          <w:lang w:val="fr-FR"/>
        </w:rPr>
        <w:t>un</w:t>
      </w:r>
      <w:r w:rsidR="00947027">
        <w:rPr>
          <w:lang w:val="fr-FR"/>
        </w:rPr>
        <w:t xml:space="preserve"> traitement</w:t>
      </w:r>
      <w:r w:rsidR="00EC595B">
        <w:rPr>
          <w:lang w:val="fr-FR"/>
        </w:rPr>
        <w:t xml:space="preserve"> </w:t>
      </w:r>
      <w:r w:rsidR="00EC595B" w:rsidRPr="00CC3EE8">
        <w:rPr>
          <w:lang w:val="fr-FR"/>
        </w:rPr>
        <w:t>approprié</w:t>
      </w:r>
      <w:r w:rsidR="0032468C">
        <w:rPr>
          <w:lang w:val="fr-FR"/>
        </w:rPr>
        <w:t xml:space="preserve"> </w:t>
      </w:r>
      <w:r w:rsidR="00947027">
        <w:rPr>
          <w:lang w:val="fr-FR"/>
        </w:rPr>
        <w:t>de tous les</w:t>
      </w:r>
      <w:r w:rsidR="00331E6C">
        <w:rPr>
          <w:lang w:val="fr-FR"/>
        </w:rPr>
        <w:t xml:space="preserve"> mauvais traitements interdits par l</w:t>
      </w:r>
      <w:r w:rsidR="00603708">
        <w:rPr>
          <w:lang w:val="fr-FR"/>
        </w:rPr>
        <w:t>’</w:t>
      </w:r>
      <w:r w:rsidR="00331E6C">
        <w:rPr>
          <w:lang w:val="fr-FR"/>
        </w:rPr>
        <w:t>article 3 dans le cadre de la législation pénale</w:t>
      </w:r>
      <w:r w:rsidR="00180B6F">
        <w:rPr>
          <w:lang w:val="fr-FR"/>
        </w:rPr>
        <w:t xml:space="preserve"> italienne</w:t>
      </w:r>
      <w:r w:rsidR="00331E6C">
        <w:rPr>
          <w:lang w:val="fr-FR"/>
        </w:rPr>
        <w:t>, la prescription</w:t>
      </w:r>
      <w:r w:rsidR="00135AE3">
        <w:rPr>
          <w:lang w:val="fr-FR"/>
        </w:rPr>
        <w:t xml:space="preserve"> (telle que réglée par le </w:t>
      </w:r>
      <w:r w:rsidR="001F797F">
        <w:rPr>
          <w:lang w:val="fr-FR"/>
        </w:rPr>
        <w:t>CP</w:t>
      </w:r>
      <w:r w:rsidR="002613BB">
        <w:rPr>
          <w:lang w:val="fr-FR"/>
        </w:rPr>
        <w:t>,</w:t>
      </w:r>
      <w:r w:rsidR="00135AE3">
        <w:rPr>
          <w:lang w:val="fr-FR"/>
        </w:rPr>
        <w:t xml:space="preserve"> </w:t>
      </w:r>
      <w:r w:rsidR="00135AE3" w:rsidRPr="00AC0DAF">
        <w:rPr>
          <w:lang w:val="fr-FR"/>
        </w:rPr>
        <w:t>paragraphes 96-101 ci-dessus</w:t>
      </w:r>
      <w:r w:rsidR="00135AE3">
        <w:rPr>
          <w:lang w:val="fr-FR"/>
        </w:rPr>
        <w:t>)</w:t>
      </w:r>
      <w:r w:rsidR="00331E6C">
        <w:rPr>
          <w:lang w:val="fr-FR"/>
        </w:rPr>
        <w:t xml:space="preserve"> </w:t>
      </w:r>
      <w:r w:rsidR="0056652A">
        <w:rPr>
          <w:lang w:val="fr-FR"/>
        </w:rPr>
        <w:t xml:space="preserve">de même que </w:t>
      </w:r>
      <w:r w:rsidR="00331E6C">
        <w:rPr>
          <w:lang w:val="fr-FR"/>
        </w:rPr>
        <w:t xml:space="preserve">la remise des peines </w:t>
      </w:r>
      <w:r w:rsidR="00135AE3">
        <w:rPr>
          <w:lang w:val="fr-FR"/>
        </w:rPr>
        <w:t>(dans le cas de la promulgation d</w:t>
      </w:r>
      <w:r w:rsidR="00603708">
        <w:rPr>
          <w:lang w:val="fr-FR"/>
        </w:rPr>
        <w:t>’</w:t>
      </w:r>
      <w:r w:rsidR="00135AE3">
        <w:rPr>
          <w:lang w:val="fr-FR"/>
        </w:rPr>
        <w:t>autres loi</w:t>
      </w:r>
      <w:r w:rsidR="008D3288">
        <w:rPr>
          <w:lang w:val="fr-FR"/>
        </w:rPr>
        <w:t>s</w:t>
      </w:r>
      <w:r w:rsidR="00135AE3">
        <w:rPr>
          <w:lang w:val="fr-FR"/>
        </w:rPr>
        <w:t xml:space="preserve"> similaires à la loi n</w:t>
      </w:r>
      <w:r w:rsidR="0032468C" w:rsidRPr="0032468C">
        <w:rPr>
          <w:vertAlign w:val="superscript"/>
          <w:lang w:val="fr-FR"/>
        </w:rPr>
        <w:t>o</w:t>
      </w:r>
      <w:r w:rsidR="00135AE3">
        <w:rPr>
          <w:lang w:val="fr-FR"/>
        </w:rPr>
        <w:t xml:space="preserve"> 241 du 2006</w:t>
      </w:r>
      <w:r w:rsidR="00BC5C2D">
        <w:rPr>
          <w:lang w:val="fr-FR"/>
        </w:rPr>
        <w:t>,</w:t>
      </w:r>
      <w:r w:rsidR="00135AE3">
        <w:rPr>
          <w:lang w:val="fr-FR"/>
        </w:rPr>
        <w:t xml:space="preserve"> </w:t>
      </w:r>
      <w:r w:rsidR="00135AE3" w:rsidRPr="00AC0DAF">
        <w:rPr>
          <w:lang w:val="fr-FR"/>
        </w:rPr>
        <w:t>paragraphe 102 ci-dessus</w:t>
      </w:r>
      <w:r w:rsidR="00135AE3" w:rsidRPr="00BC5C2D">
        <w:rPr>
          <w:lang w:val="fr-FR"/>
        </w:rPr>
        <w:t>)</w:t>
      </w:r>
      <w:r w:rsidR="00135AE3">
        <w:rPr>
          <w:lang w:val="fr-FR"/>
        </w:rPr>
        <w:t xml:space="preserve"> </w:t>
      </w:r>
      <w:r w:rsidR="00331E6C">
        <w:rPr>
          <w:lang w:val="fr-FR"/>
        </w:rPr>
        <w:t xml:space="preserve">peuvent empêcher en pratique toute punition </w:t>
      </w:r>
      <w:r w:rsidR="00135AE3">
        <w:rPr>
          <w:lang w:val="fr-FR"/>
        </w:rPr>
        <w:t>non seulement des responsables d</w:t>
      </w:r>
      <w:r w:rsidR="00603708">
        <w:rPr>
          <w:lang w:val="fr-FR"/>
        </w:rPr>
        <w:t>’</w:t>
      </w:r>
      <w:r w:rsidR="00135AE3">
        <w:rPr>
          <w:lang w:val="fr-FR"/>
        </w:rPr>
        <w:t>actes de « torture » mais aussi des auteurs de</w:t>
      </w:r>
      <w:r w:rsidR="00331E6C">
        <w:rPr>
          <w:lang w:val="fr-FR"/>
        </w:rPr>
        <w:t xml:space="preserve"> </w:t>
      </w:r>
      <w:r w:rsidR="00947027">
        <w:rPr>
          <w:lang w:val="fr-FR"/>
        </w:rPr>
        <w:t>« </w:t>
      </w:r>
      <w:r w:rsidR="00331E6C">
        <w:rPr>
          <w:lang w:val="fr-FR"/>
        </w:rPr>
        <w:t>traitements inhumain</w:t>
      </w:r>
      <w:r w:rsidR="00B600EE">
        <w:rPr>
          <w:lang w:val="fr-FR"/>
        </w:rPr>
        <w:t>s</w:t>
      </w:r>
      <w:r w:rsidR="00947027">
        <w:rPr>
          <w:lang w:val="fr-FR"/>
        </w:rPr>
        <w:t> »</w:t>
      </w:r>
      <w:r w:rsidR="00331E6C">
        <w:rPr>
          <w:lang w:val="fr-FR"/>
        </w:rPr>
        <w:t xml:space="preserve"> et </w:t>
      </w:r>
      <w:r w:rsidR="00947027">
        <w:rPr>
          <w:lang w:val="fr-FR"/>
        </w:rPr>
        <w:t>« </w:t>
      </w:r>
      <w:r w:rsidR="00331E6C">
        <w:rPr>
          <w:lang w:val="fr-FR"/>
        </w:rPr>
        <w:t>dégradants</w:t>
      </w:r>
      <w:r w:rsidR="00947027">
        <w:rPr>
          <w:lang w:val="fr-FR"/>
        </w:rPr>
        <w:t> »</w:t>
      </w:r>
      <w:r w:rsidR="00135AE3">
        <w:rPr>
          <w:lang w:val="fr-FR"/>
        </w:rPr>
        <w:t xml:space="preserve"> </w:t>
      </w:r>
      <w:r w:rsidR="00A96B7F">
        <w:rPr>
          <w:lang w:val="fr-FR"/>
        </w:rPr>
        <w:t>en vertu</w:t>
      </w:r>
      <w:r w:rsidR="00135AE3">
        <w:rPr>
          <w:lang w:val="fr-FR"/>
        </w:rPr>
        <w:t xml:space="preserve"> de cette </w:t>
      </w:r>
      <w:r w:rsidR="00947027">
        <w:rPr>
          <w:lang w:val="fr-FR"/>
        </w:rPr>
        <w:t xml:space="preserve">même </w:t>
      </w:r>
      <w:r w:rsidR="00135AE3">
        <w:rPr>
          <w:lang w:val="fr-FR"/>
        </w:rPr>
        <w:t xml:space="preserve">disposition, malgré tous les efforts déployés par les autorités de poursuites et </w:t>
      </w:r>
      <w:r w:rsidR="00947027">
        <w:rPr>
          <w:lang w:val="fr-FR"/>
        </w:rPr>
        <w:t>les</w:t>
      </w:r>
      <w:r w:rsidR="00135AE3">
        <w:rPr>
          <w:lang w:val="fr-FR"/>
        </w:rPr>
        <w:t xml:space="preserve"> juridictions de jugement.</w:t>
      </w:r>
    </w:p>
    <w:p w:rsidR="00603708" w:rsidRDefault="006E32AD" w:rsidP="00772D1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243</w:t>
      </w:r>
      <w:r>
        <w:rPr>
          <w:lang w:val="fr-FR"/>
        </w:rPr>
        <w:fldChar w:fldCharType="end"/>
      </w:r>
      <w:r>
        <w:rPr>
          <w:lang w:val="fr-FR"/>
        </w:rPr>
        <w:t>.  En ce qui concerne les mesures à prendre pour remédier</w:t>
      </w:r>
      <w:r w:rsidR="00135AE3">
        <w:rPr>
          <w:lang w:val="fr-FR"/>
        </w:rPr>
        <w:t xml:space="preserve"> à ce problème</w:t>
      </w:r>
      <w:r>
        <w:rPr>
          <w:lang w:val="fr-FR"/>
        </w:rPr>
        <w:t xml:space="preserve">, </w:t>
      </w:r>
      <w:r w:rsidR="00852B7B">
        <w:rPr>
          <w:lang w:val="fr-FR"/>
        </w:rPr>
        <w:t xml:space="preserve">la Cour </w:t>
      </w:r>
      <w:r w:rsidR="00DB371D">
        <w:rPr>
          <w:lang w:val="fr-FR"/>
        </w:rPr>
        <w:t>rappelle</w:t>
      </w:r>
      <w:r w:rsidR="00852B7B">
        <w:rPr>
          <w:lang w:val="fr-FR"/>
        </w:rPr>
        <w:t>, tout d</w:t>
      </w:r>
      <w:r w:rsidR="00603708">
        <w:rPr>
          <w:lang w:val="fr-FR"/>
        </w:rPr>
        <w:t>’</w:t>
      </w:r>
      <w:r w:rsidR="00852B7B">
        <w:rPr>
          <w:lang w:val="fr-FR"/>
        </w:rPr>
        <w:t>abord, que les obligations positives qui incombent à l</w:t>
      </w:r>
      <w:r w:rsidR="00603708">
        <w:rPr>
          <w:lang w:val="fr-FR"/>
        </w:rPr>
        <w:t>’</w:t>
      </w:r>
      <w:r w:rsidR="00671961">
        <w:rPr>
          <w:lang w:val="fr-FR"/>
        </w:rPr>
        <w:t>État sur le terrain</w:t>
      </w:r>
      <w:r w:rsidR="00852B7B">
        <w:rPr>
          <w:lang w:val="fr-FR"/>
        </w:rPr>
        <w:t xml:space="preserve"> de l</w:t>
      </w:r>
      <w:r w:rsidR="00603708">
        <w:rPr>
          <w:lang w:val="fr-FR"/>
        </w:rPr>
        <w:t>’</w:t>
      </w:r>
      <w:r w:rsidR="00852B7B">
        <w:rPr>
          <w:lang w:val="fr-FR"/>
        </w:rPr>
        <w:t xml:space="preserve">article 3 peuvent comporter </w:t>
      </w:r>
      <w:r w:rsidR="009D5AE5">
        <w:rPr>
          <w:lang w:val="fr-FR"/>
        </w:rPr>
        <w:t>le</w:t>
      </w:r>
      <w:r w:rsidR="00852B7B">
        <w:rPr>
          <w:lang w:val="fr-FR"/>
        </w:rPr>
        <w:t xml:space="preserve"> devoir de mettre en place un cadre juridique adapté, </w:t>
      </w:r>
      <w:r w:rsidR="009D5AE5">
        <w:rPr>
          <w:lang w:val="fr-FR"/>
        </w:rPr>
        <w:t>notamment par le biais</w:t>
      </w:r>
      <w:r w:rsidR="00852B7B">
        <w:rPr>
          <w:lang w:val="fr-FR"/>
        </w:rPr>
        <w:t xml:space="preserve"> de dispositions pénales efficaces (</w:t>
      </w:r>
      <w:r w:rsidR="00852B7B" w:rsidRPr="00AC0DAF">
        <w:rPr>
          <w:lang w:val="fr-FR"/>
        </w:rPr>
        <w:t>paragraphe 2</w:t>
      </w:r>
      <w:r w:rsidR="00BC5C2D">
        <w:rPr>
          <w:lang w:val="fr-FR"/>
        </w:rPr>
        <w:t>09</w:t>
      </w:r>
      <w:r w:rsidR="00852B7B" w:rsidRPr="00AC0DAF">
        <w:rPr>
          <w:lang w:val="fr-FR"/>
        </w:rPr>
        <w:t xml:space="preserve"> ci-dessus</w:t>
      </w:r>
      <w:r w:rsidR="00852B7B">
        <w:rPr>
          <w:lang w:val="fr-FR"/>
        </w:rPr>
        <w:t>).</w:t>
      </w:r>
    </w:p>
    <w:p w:rsidR="00603708" w:rsidRDefault="00AB20F9" w:rsidP="00C62046">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244</w:t>
      </w:r>
      <w:r>
        <w:rPr>
          <w:lang w:val="fr-FR"/>
        </w:rPr>
        <w:fldChar w:fldCharType="end"/>
      </w:r>
      <w:r>
        <w:rPr>
          <w:lang w:val="fr-FR"/>
        </w:rPr>
        <w:t>.  </w:t>
      </w:r>
      <w:r w:rsidR="009D5AE5">
        <w:rPr>
          <w:lang w:val="fr-FR"/>
        </w:rPr>
        <w:t>Comme dans l</w:t>
      </w:r>
      <w:r w:rsidR="00603708">
        <w:rPr>
          <w:lang w:val="fr-FR"/>
        </w:rPr>
        <w:t>’</w:t>
      </w:r>
      <w:r w:rsidR="009D5AE5">
        <w:rPr>
          <w:lang w:val="fr-FR"/>
        </w:rPr>
        <w:t>arrêt</w:t>
      </w:r>
      <w:r w:rsidR="00301908">
        <w:rPr>
          <w:lang w:val="fr-FR"/>
        </w:rPr>
        <w:t xml:space="preserve"> </w:t>
      </w:r>
      <w:r w:rsidR="00301908" w:rsidRPr="00301908">
        <w:rPr>
          <w:i/>
          <w:lang w:val="fr-FR"/>
        </w:rPr>
        <w:t>Söderman c. Suède</w:t>
      </w:r>
      <w:r w:rsidR="00301908" w:rsidRPr="00301908">
        <w:rPr>
          <w:lang w:val="fr-FR"/>
        </w:rPr>
        <w:t xml:space="preserve"> [GC], </w:t>
      </w:r>
      <w:r w:rsidR="00DB371D" w:rsidRPr="00301908">
        <w:rPr>
          <w:lang w:val="fr-FR"/>
        </w:rPr>
        <w:t>n</w:t>
      </w:r>
      <w:r w:rsidR="00DB371D" w:rsidRPr="00301908">
        <w:rPr>
          <w:vertAlign w:val="superscript"/>
          <w:lang w:val="fr-FR"/>
        </w:rPr>
        <w:t>o</w:t>
      </w:r>
      <w:r w:rsidR="00DB371D">
        <w:rPr>
          <w:lang w:val="fr-FR"/>
        </w:rPr>
        <w:t> </w:t>
      </w:r>
      <w:r w:rsidR="00301908" w:rsidRPr="00301908">
        <w:rPr>
          <w:lang w:val="fr-FR"/>
        </w:rPr>
        <w:t>5786/08</w:t>
      </w:r>
      <w:r w:rsidR="00301908" w:rsidRPr="00301908">
        <w:rPr>
          <w:snapToGrid w:val="0"/>
          <w:lang w:val="fr-FR"/>
        </w:rPr>
        <w:t xml:space="preserve">, § </w:t>
      </w:r>
      <w:r w:rsidR="00301908">
        <w:rPr>
          <w:snapToGrid w:val="0"/>
          <w:lang w:val="fr-FR"/>
        </w:rPr>
        <w:t>82</w:t>
      </w:r>
      <w:r w:rsidR="00301908" w:rsidRPr="00301908">
        <w:rPr>
          <w:snapToGrid w:val="0"/>
          <w:lang w:val="fr-FR"/>
        </w:rPr>
        <w:t xml:space="preserve">, </w:t>
      </w:r>
      <w:r w:rsidR="00301908" w:rsidRPr="00301908">
        <w:rPr>
          <w:lang w:val="fr-FR"/>
        </w:rPr>
        <w:t>CEDH 2013</w:t>
      </w:r>
      <w:r w:rsidR="00301908">
        <w:rPr>
          <w:lang w:val="fr-FR"/>
        </w:rPr>
        <w:t xml:space="preserve">, </w:t>
      </w:r>
      <w:r w:rsidR="00180B6F">
        <w:rPr>
          <w:lang w:val="fr-FR"/>
        </w:rPr>
        <w:t>elle</w:t>
      </w:r>
      <w:r w:rsidR="00301908">
        <w:rPr>
          <w:lang w:val="fr-FR"/>
        </w:rPr>
        <w:t xml:space="preserve"> </w:t>
      </w:r>
      <w:r w:rsidR="00671961">
        <w:rPr>
          <w:lang w:val="fr-FR"/>
        </w:rPr>
        <w:t xml:space="preserve">observe, en outre, que </w:t>
      </w:r>
      <w:r w:rsidR="00301908">
        <w:rPr>
          <w:lang w:val="fr-FR"/>
        </w:rPr>
        <w:t>cette o</w:t>
      </w:r>
      <w:r w:rsidRPr="00C62046">
        <w:rPr>
          <w:lang w:val="fr-FR"/>
        </w:rPr>
        <w:t>bligation</w:t>
      </w:r>
      <w:r w:rsidR="00301908">
        <w:rPr>
          <w:lang w:val="fr-FR"/>
        </w:rPr>
        <w:t xml:space="preserve"> découle, au moins en partie, au</w:t>
      </w:r>
      <w:r w:rsidRPr="00C62046">
        <w:rPr>
          <w:lang w:val="fr-FR"/>
        </w:rPr>
        <w:t>s</w:t>
      </w:r>
      <w:r w:rsidR="00301908">
        <w:rPr>
          <w:lang w:val="fr-FR"/>
        </w:rPr>
        <w:t>si d</w:t>
      </w:r>
      <w:r w:rsidR="00603708">
        <w:rPr>
          <w:lang w:val="fr-FR"/>
        </w:rPr>
        <w:t>’</w:t>
      </w:r>
      <w:r w:rsidR="00301908">
        <w:rPr>
          <w:lang w:val="fr-FR"/>
        </w:rPr>
        <w:t>autres dispositions internationales telles que, notamment,</w:t>
      </w:r>
      <w:r w:rsidRPr="00C62046">
        <w:rPr>
          <w:lang w:val="fr-FR"/>
        </w:rPr>
        <w:t xml:space="preserve"> </w:t>
      </w:r>
      <w:r w:rsidR="00301908">
        <w:rPr>
          <w:lang w:val="fr-FR"/>
        </w:rPr>
        <w:t>l</w:t>
      </w:r>
      <w:r w:rsidR="00603708">
        <w:rPr>
          <w:lang w:val="fr-FR"/>
        </w:rPr>
        <w:t>’</w:t>
      </w:r>
      <w:r w:rsidR="00301908">
        <w:rPr>
          <w:lang w:val="fr-FR"/>
        </w:rPr>
        <w:t>article 4 de la Convention contre la torture et autres peines ou traitements cruels, inhumains ou dégradants (</w:t>
      </w:r>
      <w:r w:rsidR="00301908" w:rsidRPr="00AC0DAF">
        <w:rPr>
          <w:lang w:val="fr-FR"/>
        </w:rPr>
        <w:t>paragraphe 109 ci-dessus</w:t>
      </w:r>
      <w:r w:rsidR="00301908">
        <w:rPr>
          <w:lang w:val="fr-FR"/>
        </w:rPr>
        <w:t xml:space="preserve">). Comme le soulignent </w:t>
      </w:r>
      <w:r w:rsidR="009A1D1A">
        <w:rPr>
          <w:lang w:val="fr-FR"/>
        </w:rPr>
        <w:t>le requérant (</w:t>
      </w:r>
      <w:r w:rsidR="009A1D1A" w:rsidRPr="00AC0DAF">
        <w:rPr>
          <w:lang w:val="fr-FR"/>
        </w:rPr>
        <w:t>paragraphe 19</w:t>
      </w:r>
      <w:r w:rsidR="00BC5C2D" w:rsidRPr="00AC0DAF">
        <w:rPr>
          <w:lang w:val="fr-FR"/>
        </w:rPr>
        <w:t>5 ci-dessus</w:t>
      </w:r>
      <w:r w:rsidR="009A1D1A">
        <w:rPr>
          <w:lang w:val="fr-FR"/>
        </w:rPr>
        <w:t>) et les tiers intervenants (</w:t>
      </w:r>
      <w:r w:rsidR="009A1D1A" w:rsidRPr="00AC0DAF">
        <w:rPr>
          <w:lang w:val="fr-FR"/>
        </w:rPr>
        <w:t>paragraphes 20</w:t>
      </w:r>
      <w:r w:rsidR="00BC5C2D" w:rsidRPr="00AC0DAF">
        <w:rPr>
          <w:lang w:val="fr-FR"/>
        </w:rPr>
        <w:t>0 et suiv</w:t>
      </w:r>
      <w:r w:rsidR="009D5AE5">
        <w:rPr>
          <w:lang w:val="fr-FR"/>
        </w:rPr>
        <w:t>ants</w:t>
      </w:r>
      <w:r w:rsidR="00BC5C2D" w:rsidRPr="00AC0DAF">
        <w:rPr>
          <w:lang w:val="fr-FR"/>
        </w:rPr>
        <w:t xml:space="preserve"> ci-dessus</w:t>
      </w:r>
      <w:r w:rsidR="009A1D1A">
        <w:rPr>
          <w:lang w:val="fr-FR"/>
        </w:rPr>
        <w:t>), l</w:t>
      </w:r>
      <w:r w:rsidR="00301908">
        <w:rPr>
          <w:lang w:val="fr-FR"/>
        </w:rPr>
        <w:t>es observations et les recommandations du Comité</w:t>
      </w:r>
      <w:r w:rsidR="009A1D1A">
        <w:rPr>
          <w:lang w:val="fr-FR"/>
        </w:rPr>
        <w:t xml:space="preserve"> des droits de l</w:t>
      </w:r>
      <w:r w:rsidR="00603708">
        <w:rPr>
          <w:lang w:val="fr-FR"/>
        </w:rPr>
        <w:t>’</w:t>
      </w:r>
      <w:r w:rsidR="009A1D1A">
        <w:rPr>
          <w:lang w:val="fr-FR"/>
        </w:rPr>
        <w:t xml:space="preserve">homme des Nations </w:t>
      </w:r>
      <w:r w:rsidR="009D5AE5">
        <w:rPr>
          <w:lang w:val="fr-FR"/>
        </w:rPr>
        <w:t>u</w:t>
      </w:r>
      <w:r w:rsidR="009A1D1A">
        <w:rPr>
          <w:lang w:val="fr-FR"/>
        </w:rPr>
        <w:t>nies, du CAT et du CPT vont dans le même sens</w:t>
      </w:r>
      <w:r w:rsidR="00947027">
        <w:rPr>
          <w:lang w:val="fr-FR"/>
        </w:rPr>
        <w:t xml:space="preserve"> (</w:t>
      </w:r>
      <w:r w:rsidR="00947027" w:rsidRPr="00AC0DAF">
        <w:rPr>
          <w:lang w:val="fr-FR"/>
        </w:rPr>
        <w:t>paragraphes 112-116, 118 et 120 ci-dessus</w:t>
      </w:r>
      <w:r w:rsidR="00947027">
        <w:rPr>
          <w:lang w:val="fr-FR"/>
        </w:rPr>
        <w:t>)</w:t>
      </w:r>
      <w:r w:rsidR="009A1D1A">
        <w:rPr>
          <w:lang w:val="fr-FR"/>
        </w:rPr>
        <w:t>.</w:t>
      </w:r>
    </w:p>
    <w:p w:rsidR="0032468C" w:rsidRPr="001F06A4" w:rsidRDefault="00C62046" w:rsidP="00B23D28">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245</w:t>
      </w:r>
      <w:r>
        <w:rPr>
          <w:lang w:val="fr-FR"/>
        </w:rPr>
        <w:fldChar w:fldCharType="end"/>
      </w:r>
      <w:r>
        <w:rPr>
          <w:lang w:val="fr-FR"/>
        </w:rPr>
        <w:t>. </w:t>
      </w:r>
      <w:r w:rsidR="00DB371D">
        <w:rPr>
          <w:lang w:val="fr-FR"/>
        </w:rPr>
        <w:t> </w:t>
      </w:r>
      <w:r w:rsidR="00797700">
        <w:rPr>
          <w:lang w:val="fr-FR"/>
        </w:rPr>
        <w:t>L</w:t>
      </w:r>
      <w:r w:rsidR="00180B6F">
        <w:rPr>
          <w:lang w:val="fr-FR"/>
        </w:rPr>
        <w:t xml:space="preserve">a compétence de la Cour </w:t>
      </w:r>
      <w:r w:rsidR="00947027">
        <w:rPr>
          <w:lang w:val="fr-FR"/>
        </w:rPr>
        <w:t>se limite</w:t>
      </w:r>
      <w:r w:rsidR="00797700">
        <w:rPr>
          <w:lang w:val="fr-FR"/>
        </w:rPr>
        <w:t xml:space="preserve">, </w:t>
      </w:r>
      <w:r w:rsidR="004A1E93">
        <w:rPr>
          <w:lang w:val="fr-FR"/>
        </w:rPr>
        <w:t>néanmoins</w:t>
      </w:r>
      <w:r w:rsidR="00797700">
        <w:rPr>
          <w:lang w:val="fr-FR"/>
        </w:rPr>
        <w:t>,</w:t>
      </w:r>
      <w:r w:rsidR="00947027">
        <w:rPr>
          <w:lang w:val="fr-FR"/>
        </w:rPr>
        <w:t xml:space="preserve"> à assurer</w:t>
      </w:r>
      <w:r w:rsidR="00797700">
        <w:rPr>
          <w:lang w:val="fr-FR"/>
        </w:rPr>
        <w:t xml:space="preserve"> </w:t>
      </w:r>
      <w:r w:rsidR="00180B6F">
        <w:rPr>
          <w:lang w:val="fr-FR"/>
        </w:rPr>
        <w:t>le respect des obligations découlant</w:t>
      </w:r>
      <w:r w:rsidR="00797700">
        <w:rPr>
          <w:lang w:val="fr-FR"/>
        </w:rPr>
        <w:t xml:space="preserve"> </w:t>
      </w:r>
      <w:r w:rsidR="00180B6F">
        <w:rPr>
          <w:lang w:val="fr-FR"/>
        </w:rPr>
        <w:t>de l</w:t>
      </w:r>
      <w:r w:rsidR="00603708">
        <w:rPr>
          <w:lang w:val="fr-FR"/>
        </w:rPr>
        <w:t>’</w:t>
      </w:r>
      <w:r w:rsidR="00180B6F">
        <w:rPr>
          <w:lang w:val="fr-FR"/>
        </w:rPr>
        <w:t>article 3 de la Convention et</w:t>
      </w:r>
      <w:r w:rsidR="00797700">
        <w:rPr>
          <w:lang w:val="fr-FR"/>
        </w:rPr>
        <w:t>, en particulier,</w:t>
      </w:r>
      <w:r w:rsidR="00180B6F">
        <w:rPr>
          <w:lang w:val="fr-FR"/>
        </w:rPr>
        <w:t xml:space="preserve"> à </w:t>
      </w:r>
      <w:r w:rsidR="00797700">
        <w:rPr>
          <w:lang w:val="fr-FR"/>
        </w:rPr>
        <w:t>aider l</w:t>
      </w:r>
      <w:r w:rsidR="00603708">
        <w:rPr>
          <w:lang w:val="fr-FR"/>
        </w:rPr>
        <w:t>’</w:t>
      </w:r>
      <w:r w:rsidR="00180B6F">
        <w:rPr>
          <w:lang w:val="fr-FR"/>
        </w:rPr>
        <w:t>État défendeur</w:t>
      </w:r>
      <w:r w:rsidR="00797700">
        <w:rPr>
          <w:lang w:val="fr-FR"/>
        </w:rPr>
        <w:t xml:space="preserve"> à trouver les solutions appropriées au problème structurel identifié</w:t>
      </w:r>
      <w:r w:rsidR="00CB31DE">
        <w:rPr>
          <w:lang w:val="fr-FR"/>
        </w:rPr>
        <w:t xml:space="preserve">, </w:t>
      </w:r>
      <w:r w:rsidR="00CB31DE" w:rsidRPr="001F06A4">
        <w:rPr>
          <w:lang w:val="fr-FR"/>
        </w:rPr>
        <w:t>à savoir l</w:t>
      </w:r>
      <w:r w:rsidR="00603708">
        <w:rPr>
          <w:lang w:val="fr-FR"/>
        </w:rPr>
        <w:t>’</w:t>
      </w:r>
      <w:r w:rsidR="00CB31DE" w:rsidRPr="001F06A4">
        <w:rPr>
          <w:lang w:val="fr-FR"/>
        </w:rPr>
        <w:t>inadéquation de la législation italienne</w:t>
      </w:r>
      <w:r w:rsidR="005F2E6A" w:rsidRPr="001F06A4">
        <w:rPr>
          <w:lang w:val="fr-FR"/>
        </w:rPr>
        <w:t>.</w:t>
      </w:r>
      <w:r w:rsidR="00E503F4" w:rsidRPr="001F06A4">
        <w:rPr>
          <w:lang w:val="fr-FR"/>
        </w:rPr>
        <w:t xml:space="preserve"> </w:t>
      </w:r>
      <w:r w:rsidR="00033544" w:rsidRPr="001F06A4">
        <w:rPr>
          <w:lang w:val="fr-FR"/>
        </w:rPr>
        <w:t>Il</w:t>
      </w:r>
      <w:r w:rsidR="005F2E6A" w:rsidRPr="001F06A4">
        <w:rPr>
          <w:lang w:val="fr-FR"/>
        </w:rPr>
        <w:t> </w:t>
      </w:r>
      <w:r w:rsidR="00033544" w:rsidRPr="001F06A4">
        <w:rPr>
          <w:lang w:val="fr-FR"/>
        </w:rPr>
        <w:t>appart</w:t>
      </w:r>
      <w:r w:rsidR="00491CEF" w:rsidRPr="001F06A4">
        <w:rPr>
          <w:lang w:val="fr-FR"/>
        </w:rPr>
        <w:t>ient en effet, en premier lieu,</w:t>
      </w:r>
      <w:r w:rsidR="00033544" w:rsidRPr="001F06A4">
        <w:rPr>
          <w:lang w:val="fr-FR"/>
        </w:rPr>
        <w:t xml:space="preserve"> </w:t>
      </w:r>
      <w:r w:rsidR="00407923" w:rsidRPr="001F06A4">
        <w:rPr>
          <w:lang w:val="fr-FR"/>
        </w:rPr>
        <w:t>à l</w:t>
      </w:r>
      <w:r w:rsidR="00603708">
        <w:rPr>
          <w:lang w:val="fr-FR"/>
        </w:rPr>
        <w:t>’</w:t>
      </w:r>
      <w:r w:rsidR="00407923" w:rsidRPr="001F06A4">
        <w:rPr>
          <w:lang w:val="fr-FR"/>
        </w:rPr>
        <w:t xml:space="preserve">Etat défendeur </w:t>
      </w:r>
      <w:r w:rsidR="00033544" w:rsidRPr="001F06A4">
        <w:rPr>
          <w:lang w:val="fr-FR"/>
        </w:rPr>
        <w:t xml:space="preserve">de choisir les </w:t>
      </w:r>
      <w:r w:rsidR="00E503F4" w:rsidRPr="001F06A4">
        <w:rPr>
          <w:lang w:val="fr-FR"/>
        </w:rPr>
        <w:t>moyens à utiliser pour s</w:t>
      </w:r>
      <w:r w:rsidR="00603708">
        <w:rPr>
          <w:lang w:val="fr-FR"/>
        </w:rPr>
        <w:t>’</w:t>
      </w:r>
      <w:r w:rsidR="00E503F4" w:rsidRPr="001F06A4">
        <w:rPr>
          <w:lang w:val="fr-FR"/>
        </w:rPr>
        <w:t>aquitter de son obligation sur le terrain de l</w:t>
      </w:r>
      <w:r w:rsidR="00603708">
        <w:rPr>
          <w:lang w:val="fr-FR"/>
        </w:rPr>
        <w:t>’</w:t>
      </w:r>
      <w:r w:rsidR="00E503F4" w:rsidRPr="001F06A4">
        <w:rPr>
          <w:lang w:val="fr-FR"/>
        </w:rPr>
        <w:t>article 46 de la Convention</w:t>
      </w:r>
      <w:r w:rsidR="00740DEB" w:rsidRPr="001F06A4">
        <w:rPr>
          <w:lang w:val="fr-FR"/>
        </w:rPr>
        <w:t xml:space="preserve"> (paragraphe</w:t>
      </w:r>
      <w:r w:rsidR="00033544" w:rsidRPr="001F06A4">
        <w:rPr>
          <w:lang w:val="fr-FR"/>
        </w:rPr>
        <w:t xml:space="preserve"> 24</w:t>
      </w:r>
      <w:r w:rsidR="008214DC">
        <w:rPr>
          <w:lang w:val="fr-FR"/>
        </w:rPr>
        <w:t>0</w:t>
      </w:r>
      <w:r w:rsidR="00033544" w:rsidRPr="001F06A4">
        <w:rPr>
          <w:lang w:val="fr-FR"/>
        </w:rPr>
        <w:t xml:space="preserve"> ci-dessus)</w:t>
      </w:r>
      <w:r w:rsidR="00E503F4" w:rsidRPr="001F06A4">
        <w:rPr>
          <w:lang w:val="fr-FR"/>
        </w:rPr>
        <w:t>.</w:t>
      </w:r>
    </w:p>
    <w:p w:rsidR="00603708" w:rsidRDefault="00CD346C" w:rsidP="00B23D28">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246</w:t>
      </w:r>
      <w:r>
        <w:rPr>
          <w:lang w:val="fr-FR"/>
        </w:rPr>
        <w:fldChar w:fldCharType="end"/>
      </w:r>
      <w:r>
        <w:rPr>
          <w:lang w:val="fr-FR"/>
        </w:rPr>
        <w:t>.  </w:t>
      </w:r>
      <w:r w:rsidR="00797700">
        <w:rPr>
          <w:lang w:val="fr-FR"/>
        </w:rPr>
        <w:t>Dans ce cadre, elle estime nécessaire que l</w:t>
      </w:r>
      <w:r w:rsidR="00603708">
        <w:rPr>
          <w:lang w:val="fr-FR"/>
        </w:rPr>
        <w:t>’</w:t>
      </w:r>
      <w:r w:rsidR="00797700">
        <w:rPr>
          <w:lang w:val="fr-FR"/>
        </w:rPr>
        <w:t xml:space="preserve">ordre juridique italien </w:t>
      </w:r>
      <w:r w:rsidR="00DB371D">
        <w:rPr>
          <w:lang w:val="fr-FR"/>
        </w:rPr>
        <w:t>se munisse</w:t>
      </w:r>
      <w:r w:rsidR="00797700">
        <w:rPr>
          <w:lang w:val="fr-FR"/>
        </w:rPr>
        <w:t xml:space="preserve"> des outils juridiques aptes à </w:t>
      </w:r>
      <w:r w:rsidR="004A1E93">
        <w:rPr>
          <w:lang w:val="fr-FR"/>
        </w:rPr>
        <w:t>sanctionner de manière adéquate les responsables d</w:t>
      </w:r>
      <w:r w:rsidR="00603708">
        <w:rPr>
          <w:lang w:val="fr-FR"/>
        </w:rPr>
        <w:t>’</w:t>
      </w:r>
      <w:r w:rsidR="004A1E93">
        <w:rPr>
          <w:lang w:val="fr-FR"/>
        </w:rPr>
        <w:t>actes de torture ou d</w:t>
      </w:r>
      <w:r w:rsidR="00603708">
        <w:rPr>
          <w:lang w:val="fr-FR"/>
        </w:rPr>
        <w:t>’</w:t>
      </w:r>
      <w:r w:rsidR="004A1E93">
        <w:rPr>
          <w:lang w:val="fr-FR"/>
        </w:rPr>
        <w:t xml:space="preserve">autres mauvais traitements </w:t>
      </w:r>
      <w:r w:rsidR="00430E4F">
        <w:rPr>
          <w:lang w:val="fr-FR"/>
        </w:rPr>
        <w:t>au regard</w:t>
      </w:r>
      <w:r w:rsidR="004A1E93">
        <w:rPr>
          <w:lang w:val="fr-FR"/>
        </w:rPr>
        <w:t xml:space="preserve"> de l</w:t>
      </w:r>
      <w:r w:rsidR="00603708">
        <w:rPr>
          <w:lang w:val="fr-FR"/>
        </w:rPr>
        <w:t>’</w:t>
      </w:r>
      <w:r w:rsidR="004A1E93">
        <w:rPr>
          <w:lang w:val="fr-FR"/>
        </w:rPr>
        <w:t xml:space="preserve">article 3 et à </w:t>
      </w:r>
      <w:r w:rsidR="00C62046">
        <w:rPr>
          <w:lang w:val="fr-FR"/>
        </w:rPr>
        <w:t xml:space="preserve">empêcher </w:t>
      </w:r>
      <w:r w:rsidR="004A1E93">
        <w:rPr>
          <w:lang w:val="fr-FR"/>
        </w:rPr>
        <w:t>qu</w:t>
      </w:r>
      <w:r w:rsidR="00DB371D">
        <w:rPr>
          <w:lang w:val="fr-FR"/>
        </w:rPr>
        <w:t>e ceux-ci</w:t>
      </w:r>
      <w:r w:rsidR="00C62046">
        <w:rPr>
          <w:lang w:val="fr-FR"/>
        </w:rPr>
        <w:t xml:space="preserve"> </w:t>
      </w:r>
      <w:r w:rsidR="004A1E93">
        <w:rPr>
          <w:lang w:val="fr-FR"/>
        </w:rPr>
        <w:t xml:space="preserve">puissent </w:t>
      </w:r>
      <w:r w:rsidR="00C62046">
        <w:rPr>
          <w:lang w:val="fr-FR"/>
        </w:rPr>
        <w:t xml:space="preserve">bénéficier de mesures </w:t>
      </w:r>
      <w:r w:rsidR="00430E4F">
        <w:rPr>
          <w:lang w:val="fr-FR"/>
        </w:rPr>
        <w:t>en contradiction avec</w:t>
      </w:r>
      <w:r w:rsidR="00C62046">
        <w:rPr>
          <w:lang w:val="fr-FR"/>
        </w:rPr>
        <w:t xml:space="preserve"> la jurisprudence de la Cour</w:t>
      </w:r>
      <w:r w:rsidR="00570DF8">
        <w:rPr>
          <w:lang w:val="fr-FR"/>
        </w:rPr>
        <w:t>.</w:t>
      </w:r>
    </w:p>
    <w:p w:rsidR="00E77CB3" w:rsidRPr="00C611D8" w:rsidRDefault="00CD346C" w:rsidP="00E77CB3">
      <w:pPr>
        <w:pStyle w:val="ECHRHeading2"/>
        <w:outlineLvl w:val="0"/>
        <w:rPr>
          <w:lang w:val="fr-FR"/>
        </w:rPr>
      </w:pPr>
      <w:r>
        <w:rPr>
          <w:lang w:val="fr-FR"/>
        </w:rPr>
        <w:t>B</w:t>
      </w:r>
      <w:r w:rsidR="00E77CB3" w:rsidRPr="00C611D8">
        <w:rPr>
          <w:lang w:val="fr-FR"/>
        </w:rPr>
        <w:t>.  Dommage</w:t>
      </w:r>
    </w:p>
    <w:p w:rsidR="0032468C"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247</w:t>
      </w:r>
      <w:r>
        <w:rPr>
          <w:lang w:val="fr-FR"/>
        </w:rPr>
        <w:fldChar w:fldCharType="end"/>
      </w:r>
      <w:r w:rsidR="00E77CB3" w:rsidRPr="00C611D8">
        <w:rPr>
          <w:lang w:val="fr-FR"/>
        </w:rPr>
        <w:t>.  </w:t>
      </w:r>
      <w:r w:rsidR="00384BAF">
        <w:rPr>
          <w:lang w:val="fr-FR"/>
        </w:rPr>
        <w:t xml:space="preserve">Le requérant </w:t>
      </w:r>
      <w:r w:rsidR="00E77CB3" w:rsidRPr="00C611D8">
        <w:rPr>
          <w:lang w:val="fr-FR"/>
        </w:rPr>
        <w:t xml:space="preserve">réclame </w:t>
      </w:r>
      <w:r w:rsidR="00384BAF">
        <w:rPr>
          <w:lang w:val="fr-FR"/>
        </w:rPr>
        <w:t xml:space="preserve">180 000 </w:t>
      </w:r>
      <w:r w:rsidR="00DB371D">
        <w:rPr>
          <w:lang w:val="fr-FR"/>
        </w:rPr>
        <w:t>euros (</w:t>
      </w:r>
      <w:r w:rsidR="00E77CB3" w:rsidRPr="00C611D8">
        <w:rPr>
          <w:lang w:val="fr-FR"/>
        </w:rPr>
        <w:t>EUR</w:t>
      </w:r>
      <w:r w:rsidR="00DB371D">
        <w:rPr>
          <w:lang w:val="fr-FR"/>
        </w:rPr>
        <w:t>)</w:t>
      </w:r>
      <w:r w:rsidR="00E77CB3" w:rsidRPr="00C611D8">
        <w:rPr>
          <w:lang w:val="fr-FR"/>
        </w:rPr>
        <w:t xml:space="preserve"> </w:t>
      </w:r>
      <w:r w:rsidR="00DB371D">
        <w:rPr>
          <w:lang w:val="fr-FR"/>
        </w:rPr>
        <w:t>pour le</w:t>
      </w:r>
      <w:r w:rsidR="006F6121">
        <w:rPr>
          <w:lang w:val="fr-FR"/>
        </w:rPr>
        <w:t xml:space="preserve"> </w:t>
      </w:r>
      <w:r w:rsidR="00E77CB3" w:rsidRPr="00C611D8">
        <w:rPr>
          <w:lang w:val="fr-FR"/>
        </w:rPr>
        <w:t xml:space="preserve">préjudice </w:t>
      </w:r>
      <w:r w:rsidR="005B5891">
        <w:rPr>
          <w:lang w:val="fr-FR"/>
        </w:rPr>
        <w:t>corporel</w:t>
      </w:r>
      <w:r w:rsidR="006E3178">
        <w:rPr>
          <w:lang w:val="fr-FR"/>
        </w:rPr>
        <w:t xml:space="preserve"> </w:t>
      </w:r>
      <w:r w:rsidR="00BD0843">
        <w:rPr>
          <w:lang w:val="fr-FR"/>
        </w:rPr>
        <w:t>causé par</w:t>
      </w:r>
      <w:r w:rsidR="005B5891">
        <w:rPr>
          <w:lang w:val="fr-FR"/>
        </w:rPr>
        <w:t xml:space="preserve"> l</w:t>
      </w:r>
      <w:r w:rsidR="00603708">
        <w:rPr>
          <w:lang w:val="fr-FR"/>
        </w:rPr>
        <w:t>’</w:t>
      </w:r>
      <w:r w:rsidR="005B5891">
        <w:rPr>
          <w:lang w:val="fr-FR"/>
        </w:rPr>
        <w:t>agression physique dont il a été victime (</w:t>
      </w:r>
      <w:r w:rsidR="005B5891" w:rsidRPr="00730D47">
        <w:rPr>
          <w:lang w:val="fr-FR"/>
        </w:rPr>
        <w:t xml:space="preserve">fractures du cubitus droit, du styloïde droit, de la </w:t>
      </w:r>
      <w:r w:rsidR="006F6121" w:rsidRPr="00730D47">
        <w:rPr>
          <w:lang w:val="fr-FR"/>
        </w:rPr>
        <w:t>fibule</w:t>
      </w:r>
      <w:r w:rsidR="005B5891" w:rsidRPr="00730D47">
        <w:rPr>
          <w:lang w:val="fr-FR"/>
        </w:rPr>
        <w:t xml:space="preserve"> droite et de plusieurs côtes</w:t>
      </w:r>
      <w:r w:rsidR="005B5891">
        <w:rPr>
          <w:lang w:val="fr-FR"/>
        </w:rPr>
        <w:t> ;</w:t>
      </w:r>
      <w:r w:rsidR="006F6121">
        <w:rPr>
          <w:lang w:val="fr-FR"/>
        </w:rPr>
        <w:t xml:space="preserve"> séquelles</w:t>
      </w:r>
      <w:r w:rsidR="006E3178">
        <w:rPr>
          <w:lang w:val="fr-FR"/>
        </w:rPr>
        <w:t xml:space="preserve"> ultérieures</w:t>
      </w:r>
      <w:r w:rsidR="006F6121">
        <w:rPr>
          <w:lang w:val="fr-FR"/>
        </w:rPr>
        <w:t xml:space="preserve"> ; </w:t>
      </w:r>
      <w:r w:rsidR="006F6121" w:rsidRPr="004A51F8">
        <w:rPr>
          <w:lang w:val="fr-FR"/>
        </w:rPr>
        <w:t>faibl</w:t>
      </w:r>
      <w:r w:rsidR="00DB371D">
        <w:rPr>
          <w:lang w:val="fr-FR"/>
        </w:rPr>
        <w:t>esse</w:t>
      </w:r>
      <w:r w:rsidR="006F6121" w:rsidRPr="004A51F8">
        <w:rPr>
          <w:lang w:val="fr-FR"/>
        </w:rPr>
        <w:t xml:space="preserve"> permanent</w:t>
      </w:r>
      <w:r w:rsidR="00DB371D">
        <w:rPr>
          <w:lang w:val="fr-FR"/>
        </w:rPr>
        <w:t>e</w:t>
      </w:r>
      <w:r w:rsidR="006F6121" w:rsidRPr="004A51F8">
        <w:rPr>
          <w:lang w:val="fr-FR"/>
        </w:rPr>
        <w:t xml:space="preserve"> du bras </w:t>
      </w:r>
      <w:r w:rsidR="00DB371D">
        <w:rPr>
          <w:lang w:val="fr-FR"/>
        </w:rPr>
        <w:t xml:space="preserve">droit </w:t>
      </w:r>
      <w:r w:rsidR="006F6121" w:rsidRPr="004A51F8">
        <w:rPr>
          <w:lang w:val="fr-FR"/>
        </w:rPr>
        <w:t>et de la jambe droit</w:t>
      </w:r>
      <w:r w:rsidR="00DB371D">
        <w:rPr>
          <w:lang w:val="fr-FR"/>
        </w:rPr>
        <w:t>e</w:t>
      </w:r>
      <w:r w:rsidR="006F6121">
        <w:rPr>
          <w:lang w:val="fr-FR"/>
        </w:rPr>
        <w:t>)</w:t>
      </w:r>
      <w:r w:rsidR="002A2163">
        <w:rPr>
          <w:lang w:val="fr-FR"/>
        </w:rPr>
        <w:t>,</w:t>
      </w:r>
      <w:r w:rsidR="0032468C">
        <w:rPr>
          <w:lang w:val="fr-FR"/>
        </w:rPr>
        <w:t xml:space="preserve"> </w:t>
      </w:r>
      <w:r w:rsidR="006F6121">
        <w:rPr>
          <w:lang w:val="fr-FR"/>
        </w:rPr>
        <w:t>qu</w:t>
      </w:r>
      <w:r w:rsidR="00603708">
        <w:rPr>
          <w:lang w:val="fr-FR"/>
        </w:rPr>
        <w:t>’</w:t>
      </w:r>
      <w:r w:rsidR="006F6121">
        <w:rPr>
          <w:lang w:val="fr-FR"/>
        </w:rPr>
        <w:t>il</w:t>
      </w:r>
      <w:r w:rsidR="005B5891">
        <w:rPr>
          <w:lang w:val="fr-FR"/>
        </w:rPr>
        <w:t xml:space="preserve"> qualifie de</w:t>
      </w:r>
      <w:r w:rsidR="00DB371D">
        <w:rPr>
          <w:lang w:val="fr-FR"/>
        </w:rPr>
        <w:t xml:space="preserve"> </w:t>
      </w:r>
      <w:r w:rsidR="006F6121">
        <w:rPr>
          <w:lang w:val="fr-FR"/>
        </w:rPr>
        <w:t xml:space="preserve">préjudice </w:t>
      </w:r>
      <w:r w:rsidR="006E3178">
        <w:rPr>
          <w:lang w:val="fr-FR"/>
        </w:rPr>
        <w:t>matériel.</w:t>
      </w:r>
    </w:p>
    <w:p w:rsidR="00E77CB3" w:rsidRPr="00C611D8" w:rsidRDefault="006E3178" w:rsidP="00C63990">
      <w:pPr>
        <w:pStyle w:val="ECHRPara"/>
        <w:rPr>
          <w:lang w:val="fr-FR"/>
        </w:rPr>
      </w:pPr>
      <w:r>
        <w:rPr>
          <w:lang w:val="fr-FR"/>
        </w:rPr>
        <w:t>Il réclame également</w:t>
      </w:r>
      <w:r w:rsidR="00384BAF">
        <w:rPr>
          <w:lang w:val="fr-FR"/>
        </w:rPr>
        <w:t xml:space="preserve"> 120 000 EUR </w:t>
      </w:r>
      <w:r w:rsidR="00DB371D">
        <w:rPr>
          <w:lang w:val="fr-FR"/>
        </w:rPr>
        <w:t>pour</w:t>
      </w:r>
      <w:r w:rsidR="008F5F57">
        <w:rPr>
          <w:lang w:val="fr-FR"/>
        </w:rPr>
        <w:t xml:space="preserve"> la souffrance et la peur qu</w:t>
      </w:r>
      <w:r w:rsidR="00603708">
        <w:rPr>
          <w:lang w:val="fr-FR"/>
        </w:rPr>
        <w:t>’</w:t>
      </w:r>
      <w:r w:rsidR="008F5F57">
        <w:rPr>
          <w:lang w:val="fr-FR"/>
        </w:rPr>
        <w:t>il aurait ressentie</w:t>
      </w:r>
      <w:r w:rsidR="00BC5E61">
        <w:rPr>
          <w:lang w:val="fr-FR"/>
        </w:rPr>
        <w:t>s</w:t>
      </w:r>
      <w:r w:rsidR="008F5F57">
        <w:rPr>
          <w:lang w:val="fr-FR"/>
        </w:rPr>
        <w:t xml:space="preserve"> lors de l</w:t>
      </w:r>
      <w:r w:rsidR="00603708">
        <w:rPr>
          <w:lang w:val="fr-FR"/>
        </w:rPr>
        <w:t>’</w:t>
      </w:r>
      <w:r w:rsidR="008F5F57">
        <w:rPr>
          <w:lang w:val="fr-FR"/>
        </w:rPr>
        <w:t xml:space="preserve">agression et </w:t>
      </w:r>
      <w:r w:rsidR="00DB371D">
        <w:rPr>
          <w:lang w:val="fr-FR"/>
        </w:rPr>
        <w:t>pour l</w:t>
      </w:r>
      <w:r w:rsidR="008F5F57">
        <w:rPr>
          <w:lang w:val="fr-FR"/>
        </w:rPr>
        <w:t>es séquelles psychologiques ultérieures, qu</w:t>
      </w:r>
      <w:r w:rsidR="00603708">
        <w:rPr>
          <w:lang w:val="fr-FR"/>
        </w:rPr>
        <w:t>’</w:t>
      </w:r>
      <w:r w:rsidR="008F5F57">
        <w:rPr>
          <w:lang w:val="fr-FR"/>
        </w:rPr>
        <w:t>il qualifie de</w:t>
      </w:r>
      <w:r w:rsidR="00384BAF">
        <w:rPr>
          <w:lang w:val="fr-FR"/>
        </w:rPr>
        <w:t xml:space="preserve"> préjudice</w:t>
      </w:r>
      <w:r w:rsidR="00E77CB3" w:rsidRPr="00C611D8">
        <w:rPr>
          <w:lang w:val="fr-FR"/>
        </w:rPr>
        <w:t xml:space="preserve"> moral.</w:t>
      </w:r>
    </w:p>
    <w:p w:rsidR="0032468C"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248</w:t>
      </w:r>
      <w:r>
        <w:rPr>
          <w:lang w:val="fr-FR"/>
        </w:rPr>
        <w:fldChar w:fldCharType="end"/>
      </w:r>
      <w:r w:rsidR="00E77CB3" w:rsidRPr="00C611D8">
        <w:rPr>
          <w:lang w:val="fr-FR"/>
        </w:rPr>
        <w:t xml:space="preserve">.  Le Gouvernement </w:t>
      </w:r>
      <w:r w:rsidR="005B5891">
        <w:rPr>
          <w:lang w:val="fr-FR"/>
        </w:rPr>
        <w:t>contest</w:t>
      </w:r>
      <w:r w:rsidR="002A2163">
        <w:rPr>
          <w:lang w:val="fr-FR"/>
        </w:rPr>
        <w:t xml:space="preserve">e </w:t>
      </w:r>
      <w:r w:rsidR="00BC5E61">
        <w:rPr>
          <w:lang w:val="fr-FR"/>
        </w:rPr>
        <w:t>ces</w:t>
      </w:r>
      <w:r w:rsidR="002A2163">
        <w:rPr>
          <w:lang w:val="fr-FR"/>
        </w:rPr>
        <w:t xml:space="preserve"> prétention</w:t>
      </w:r>
      <w:r w:rsidR="009D5AE5">
        <w:rPr>
          <w:lang w:val="fr-FR"/>
        </w:rPr>
        <w:t>s</w:t>
      </w:r>
      <w:r w:rsidR="002A2163">
        <w:rPr>
          <w:lang w:val="fr-FR"/>
        </w:rPr>
        <w:t xml:space="preserve"> </w:t>
      </w:r>
      <w:r w:rsidR="00BC5E61">
        <w:rPr>
          <w:lang w:val="fr-FR"/>
        </w:rPr>
        <w:t xml:space="preserve">et </w:t>
      </w:r>
      <w:r w:rsidR="00430E4F">
        <w:rPr>
          <w:lang w:val="fr-FR"/>
        </w:rPr>
        <w:t xml:space="preserve">estime </w:t>
      </w:r>
      <w:r w:rsidR="002A2163">
        <w:rPr>
          <w:lang w:val="fr-FR"/>
        </w:rPr>
        <w:t>qu</w:t>
      </w:r>
      <w:r w:rsidR="00603708">
        <w:rPr>
          <w:lang w:val="fr-FR"/>
        </w:rPr>
        <w:t>’</w:t>
      </w:r>
      <w:r w:rsidR="00BC5E61">
        <w:rPr>
          <w:lang w:val="fr-FR"/>
        </w:rPr>
        <w:t>elles</w:t>
      </w:r>
      <w:r w:rsidR="002A2163">
        <w:rPr>
          <w:lang w:val="fr-FR"/>
        </w:rPr>
        <w:t xml:space="preserve"> </w:t>
      </w:r>
      <w:r w:rsidR="00430E4F">
        <w:rPr>
          <w:lang w:val="fr-FR"/>
        </w:rPr>
        <w:t>vont à l</w:t>
      </w:r>
      <w:r w:rsidR="00603708">
        <w:rPr>
          <w:lang w:val="fr-FR"/>
        </w:rPr>
        <w:t>’</w:t>
      </w:r>
      <w:r w:rsidR="00430E4F">
        <w:rPr>
          <w:lang w:val="fr-FR"/>
        </w:rPr>
        <w:t>encontre du</w:t>
      </w:r>
      <w:r w:rsidR="002A2163">
        <w:rPr>
          <w:lang w:val="fr-FR"/>
        </w:rPr>
        <w:t xml:space="preserve"> but déclaré de la requêt</w:t>
      </w:r>
      <w:r w:rsidR="00DB371D">
        <w:rPr>
          <w:lang w:val="fr-FR"/>
        </w:rPr>
        <w:t>e</w:t>
      </w:r>
      <w:r w:rsidR="002A2163">
        <w:rPr>
          <w:lang w:val="fr-FR"/>
        </w:rPr>
        <w:t xml:space="preserve">, </w:t>
      </w:r>
      <w:r w:rsidR="00DB371D">
        <w:rPr>
          <w:lang w:val="fr-FR"/>
        </w:rPr>
        <w:t>qui est selon lui la</w:t>
      </w:r>
      <w:r w:rsidR="002A2163">
        <w:rPr>
          <w:lang w:val="fr-FR"/>
        </w:rPr>
        <w:t xml:space="preserve"> </w:t>
      </w:r>
      <w:r w:rsidR="00430E4F">
        <w:rPr>
          <w:lang w:val="fr-FR"/>
        </w:rPr>
        <w:t xml:space="preserve">dénonciation </w:t>
      </w:r>
      <w:r w:rsidR="00DB371D">
        <w:rPr>
          <w:lang w:val="fr-FR"/>
        </w:rPr>
        <w:t>d</w:t>
      </w:r>
      <w:r w:rsidR="002A2163">
        <w:rPr>
          <w:lang w:val="fr-FR"/>
        </w:rPr>
        <w:t>es défaillances de la législation pénale italienne en cas d</w:t>
      </w:r>
      <w:r w:rsidR="00603708">
        <w:rPr>
          <w:lang w:val="fr-FR"/>
        </w:rPr>
        <w:t>’</w:t>
      </w:r>
      <w:r w:rsidR="002A2163">
        <w:rPr>
          <w:lang w:val="fr-FR"/>
        </w:rPr>
        <w:t>atteinte à l</w:t>
      </w:r>
      <w:r w:rsidR="00603708">
        <w:rPr>
          <w:lang w:val="fr-FR"/>
        </w:rPr>
        <w:t>’</w:t>
      </w:r>
      <w:r w:rsidR="002A2163">
        <w:rPr>
          <w:lang w:val="fr-FR"/>
        </w:rPr>
        <w:t>article 3 de la Convention.</w:t>
      </w:r>
    </w:p>
    <w:p w:rsidR="0032468C" w:rsidRDefault="00DB371D" w:rsidP="00C63990">
      <w:pPr>
        <w:pStyle w:val="ECHRPara"/>
        <w:rPr>
          <w:lang w:val="fr-FR"/>
        </w:rPr>
      </w:pPr>
      <w:r>
        <w:rPr>
          <w:lang w:val="fr-FR"/>
        </w:rPr>
        <w:t>Il ajoute</w:t>
      </w:r>
      <w:r w:rsidR="002A2163">
        <w:rPr>
          <w:lang w:val="fr-FR"/>
        </w:rPr>
        <w:t xml:space="preserve"> que le requérant</w:t>
      </w:r>
      <w:r w:rsidR="005B5891">
        <w:rPr>
          <w:lang w:val="fr-FR"/>
        </w:rPr>
        <w:t xml:space="preserve"> a </w:t>
      </w:r>
      <w:r w:rsidR="00BC5E61">
        <w:rPr>
          <w:lang w:val="fr-FR"/>
        </w:rPr>
        <w:t xml:space="preserve">déjà </w:t>
      </w:r>
      <w:r w:rsidR="005B5891">
        <w:rPr>
          <w:lang w:val="fr-FR"/>
        </w:rPr>
        <w:t>obtenu une indemni</w:t>
      </w:r>
      <w:r w:rsidR="00FD0E52">
        <w:rPr>
          <w:lang w:val="fr-FR"/>
        </w:rPr>
        <w:t>té</w:t>
      </w:r>
      <w:r w:rsidR="005B5891">
        <w:rPr>
          <w:lang w:val="fr-FR"/>
        </w:rPr>
        <w:t xml:space="preserve"> au niveau national</w:t>
      </w:r>
      <w:r w:rsidR="00FD0E52">
        <w:rPr>
          <w:lang w:val="fr-FR"/>
        </w:rPr>
        <w:t>,</w:t>
      </w:r>
      <w:r w:rsidR="005B5891">
        <w:rPr>
          <w:lang w:val="fr-FR"/>
        </w:rPr>
        <w:t xml:space="preserve"> </w:t>
      </w:r>
      <w:r>
        <w:rPr>
          <w:lang w:val="fr-FR"/>
        </w:rPr>
        <w:t>qui serait d</w:t>
      </w:r>
      <w:r w:rsidR="00603708">
        <w:rPr>
          <w:lang w:val="fr-FR"/>
        </w:rPr>
        <w:t>’</w:t>
      </w:r>
      <w:r>
        <w:rPr>
          <w:lang w:val="fr-FR"/>
        </w:rPr>
        <w:t>un montant de</w:t>
      </w:r>
      <w:r w:rsidR="002A2163">
        <w:rPr>
          <w:lang w:val="fr-FR"/>
        </w:rPr>
        <w:t xml:space="preserve"> 35 000 EUR</w:t>
      </w:r>
      <w:r w:rsidR="00FD0E52">
        <w:rPr>
          <w:lang w:val="fr-FR"/>
        </w:rPr>
        <w:t>,</w:t>
      </w:r>
      <w:r w:rsidR="002A2163">
        <w:rPr>
          <w:lang w:val="fr-FR"/>
        </w:rPr>
        <w:t xml:space="preserve"> </w:t>
      </w:r>
      <w:r w:rsidR="005B5891">
        <w:rPr>
          <w:lang w:val="fr-FR"/>
        </w:rPr>
        <w:t>et qu</w:t>
      </w:r>
      <w:r w:rsidR="00603708">
        <w:rPr>
          <w:lang w:val="fr-FR"/>
        </w:rPr>
        <w:t>’</w:t>
      </w:r>
      <w:r w:rsidR="005B5891">
        <w:rPr>
          <w:lang w:val="fr-FR"/>
        </w:rPr>
        <w:t xml:space="preserve">il aurait dû se prévaloir ultérieurement des voies de recours </w:t>
      </w:r>
      <w:r w:rsidR="002A2163">
        <w:rPr>
          <w:lang w:val="fr-FR"/>
        </w:rPr>
        <w:t>internes</w:t>
      </w:r>
      <w:r w:rsidR="005B5891">
        <w:rPr>
          <w:lang w:val="fr-FR"/>
        </w:rPr>
        <w:t xml:space="preserve"> pour obtenir la liquidation globale et définitive du dédommagement.</w:t>
      </w:r>
    </w:p>
    <w:p w:rsidR="0032468C" w:rsidRDefault="002A2163"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249</w:t>
      </w:r>
      <w:r>
        <w:rPr>
          <w:lang w:val="fr-FR"/>
        </w:rPr>
        <w:fldChar w:fldCharType="end"/>
      </w:r>
      <w:r>
        <w:rPr>
          <w:lang w:val="fr-FR"/>
        </w:rPr>
        <w:t>.  </w:t>
      </w:r>
      <w:r w:rsidR="005B5891">
        <w:rPr>
          <w:lang w:val="fr-FR"/>
        </w:rPr>
        <w:t xml:space="preserve">À titre subsidiaire, </w:t>
      </w:r>
      <w:r w:rsidR="00DB371D">
        <w:rPr>
          <w:lang w:val="fr-FR"/>
        </w:rPr>
        <w:t>il estime</w:t>
      </w:r>
      <w:r w:rsidR="005B5891">
        <w:rPr>
          <w:lang w:val="fr-FR"/>
        </w:rPr>
        <w:t xml:space="preserve"> que les prétentions du requérant sont </w:t>
      </w:r>
      <w:r w:rsidR="005B5891" w:rsidRPr="008E00A0">
        <w:rPr>
          <w:lang w:val="fr-FR"/>
        </w:rPr>
        <w:t xml:space="preserve">disproportionnées eu égard aux critères </w:t>
      </w:r>
      <w:r w:rsidR="00FD0E52" w:rsidRPr="000B5793">
        <w:rPr>
          <w:lang w:val="fr-FR"/>
        </w:rPr>
        <w:t>appliqués</w:t>
      </w:r>
      <w:r w:rsidR="005B5891" w:rsidRPr="008E00A0">
        <w:rPr>
          <w:lang w:val="fr-FR"/>
        </w:rPr>
        <w:t xml:space="preserve"> au niveau national pour la</w:t>
      </w:r>
      <w:r w:rsidR="005B5891">
        <w:rPr>
          <w:lang w:val="fr-FR"/>
        </w:rPr>
        <w:t xml:space="preserve"> détermination </w:t>
      </w:r>
      <w:r>
        <w:rPr>
          <w:lang w:val="fr-FR"/>
        </w:rPr>
        <w:t>globale</w:t>
      </w:r>
      <w:r w:rsidR="00E32F50">
        <w:rPr>
          <w:lang w:val="fr-FR"/>
        </w:rPr>
        <w:t xml:space="preserve"> du préjudice corporel et moral.</w:t>
      </w:r>
    </w:p>
    <w:p w:rsidR="0032468C" w:rsidRDefault="001C4340" w:rsidP="008F5F5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250</w:t>
      </w:r>
      <w:r>
        <w:rPr>
          <w:lang w:val="fr-FR"/>
        </w:rPr>
        <w:fldChar w:fldCharType="end"/>
      </w:r>
      <w:r w:rsidR="00E77CB3" w:rsidRPr="00C611D8">
        <w:rPr>
          <w:lang w:val="fr-FR"/>
        </w:rPr>
        <w:t xml:space="preserve">.  La Cour </w:t>
      </w:r>
      <w:r w:rsidR="002A2163">
        <w:rPr>
          <w:lang w:val="fr-FR"/>
        </w:rPr>
        <w:t xml:space="preserve">estime que le préjudice corporel ne saurait être considéré comme </w:t>
      </w:r>
      <w:r w:rsidR="00E32F50">
        <w:rPr>
          <w:lang w:val="fr-FR"/>
        </w:rPr>
        <w:t xml:space="preserve">un </w:t>
      </w:r>
      <w:r w:rsidR="002A2163">
        <w:rPr>
          <w:lang w:val="fr-FR"/>
        </w:rPr>
        <w:t>préjudice matériel.</w:t>
      </w:r>
    </w:p>
    <w:p w:rsidR="0032468C" w:rsidRDefault="008F5F57" w:rsidP="008F5F57">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251</w:t>
      </w:r>
      <w:r>
        <w:rPr>
          <w:lang w:val="fr-FR"/>
        </w:rPr>
        <w:fldChar w:fldCharType="end"/>
      </w:r>
      <w:r>
        <w:rPr>
          <w:lang w:val="fr-FR"/>
        </w:rPr>
        <w:t>.  Elle considère que le requérant a subi un préjudice moral certain du fait des violations constaté</w:t>
      </w:r>
      <w:r w:rsidR="008E00A0">
        <w:rPr>
          <w:lang w:val="fr-FR"/>
        </w:rPr>
        <w:t>e</w:t>
      </w:r>
      <w:r>
        <w:rPr>
          <w:lang w:val="fr-FR"/>
        </w:rPr>
        <w:t>s. Compte tenu des circonstances de l</w:t>
      </w:r>
      <w:r w:rsidR="00603708">
        <w:rPr>
          <w:lang w:val="fr-FR"/>
        </w:rPr>
        <w:t>’</w:t>
      </w:r>
      <w:r>
        <w:rPr>
          <w:lang w:val="fr-FR"/>
        </w:rPr>
        <w:t xml:space="preserve">affaire et, notamment, du dédommagement déjà obtenu au niveau national par le requérant, la Cour, statuant en équité, estime </w:t>
      </w:r>
      <w:r w:rsidR="00E77CB3" w:rsidRPr="00C611D8">
        <w:rPr>
          <w:lang w:val="fr-FR"/>
        </w:rPr>
        <w:t>qu</w:t>
      </w:r>
      <w:r w:rsidR="00603708">
        <w:rPr>
          <w:lang w:val="fr-FR"/>
        </w:rPr>
        <w:t>’</w:t>
      </w:r>
      <w:r w:rsidR="00E77CB3" w:rsidRPr="00C611D8">
        <w:rPr>
          <w:lang w:val="fr-FR"/>
        </w:rPr>
        <w:t>il y a lieu d</w:t>
      </w:r>
      <w:r w:rsidR="00603708">
        <w:rPr>
          <w:lang w:val="fr-FR"/>
        </w:rPr>
        <w:t>’</w:t>
      </w:r>
      <w:r w:rsidR="005C6BF4">
        <w:rPr>
          <w:lang w:val="fr-FR"/>
        </w:rPr>
        <w:t>octroyer</w:t>
      </w:r>
      <w:r w:rsidR="0032468C">
        <w:rPr>
          <w:lang w:val="fr-FR"/>
        </w:rPr>
        <w:t xml:space="preserve"> </w:t>
      </w:r>
      <w:r w:rsidR="00FD0E52">
        <w:rPr>
          <w:lang w:val="fr-FR"/>
        </w:rPr>
        <w:t>à l</w:t>
      </w:r>
      <w:r w:rsidR="00603708">
        <w:rPr>
          <w:lang w:val="fr-FR"/>
        </w:rPr>
        <w:t>’</w:t>
      </w:r>
      <w:r w:rsidR="00FD0E52">
        <w:rPr>
          <w:lang w:val="fr-FR"/>
        </w:rPr>
        <w:t xml:space="preserve">intéressé </w:t>
      </w:r>
      <w:r w:rsidR="007A6C70">
        <w:rPr>
          <w:lang w:val="fr-FR"/>
        </w:rPr>
        <w:t>4</w:t>
      </w:r>
      <w:r w:rsidR="003D670C">
        <w:rPr>
          <w:lang w:val="fr-FR"/>
        </w:rPr>
        <w:t>5</w:t>
      </w:r>
      <w:r w:rsidR="00DB371D">
        <w:rPr>
          <w:lang w:val="fr-FR"/>
        </w:rPr>
        <w:t> </w:t>
      </w:r>
      <w:r w:rsidR="005C6BF4">
        <w:rPr>
          <w:lang w:val="fr-FR"/>
        </w:rPr>
        <w:t>000</w:t>
      </w:r>
      <w:r w:rsidR="0032468C">
        <w:rPr>
          <w:lang w:val="fr-FR"/>
        </w:rPr>
        <w:t xml:space="preserve"> </w:t>
      </w:r>
      <w:r w:rsidR="00E77CB3" w:rsidRPr="00C611D8">
        <w:rPr>
          <w:lang w:val="fr-FR"/>
        </w:rPr>
        <w:t xml:space="preserve">EUR </w:t>
      </w:r>
      <w:r>
        <w:rPr>
          <w:lang w:val="fr-FR"/>
        </w:rPr>
        <w:t>à ce titre</w:t>
      </w:r>
      <w:r w:rsidR="00E77CB3" w:rsidRPr="00C611D8">
        <w:rPr>
          <w:lang w:val="fr-FR"/>
        </w:rPr>
        <w:t>.</w:t>
      </w:r>
    </w:p>
    <w:p w:rsidR="00E77CB3" w:rsidRPr="00C611D8" w:rsidRDefault="003A0DA9" w:rsidP="00E77CB3">
      <w:pPr>
        <w:pStyle w:val="ECHRHeading2"/>
        <w:outlineLvl w:val="0"/>
        <w:rPr>
          <w:lang w:val="fr-FR"/>
        </w:rPr>
      </w:pPr>
      <w:r>
        <w:rPr>
          <w:lang w:val="fr-FR"/>
        </w:rPr>
        <w:t>C</w:t>
      </w:r>
      <w:r w:rsidR="00E77CB3" w:rsidRPr="00C611D8">
        <w:rPr>
          <w:lang w:val="fr-FR"/>
        </w:rPr>
        <w:t>.  Frais et dépens</w:t>
      </w:r>
    </w:p>
    <w:p w:rsidR="0032468C"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252</w:t>
      </w:r>
      <w:r>
        <w:rPr>
          <w:lang w:val="fr-FR"/>
        </w:rPr>
        <w:fldChar w:fldCharType="end"/>
      </w:r>
      <w:r w:rsidR="00E77CB3" w:rsidRPr="00C611D8">
        <w:rPr>
          <w:lang w:val="fr-FR"/>
        </w:rPr>
        <w:t>.  </w:t>
      </w:r>
      <w:r w:rsidRPr="00C611D8">
        <w:rPr>
          <w:lang w:val="fr-FR"/>
        </w:rPr>
        <w:t>Le requérant</w:t>
      </w:r>
      <w:r w:rsidR="00E77CB3" w:rsidRPr="00C611D8">
        <w:rPr>
          <w:lang w:val="fr-FR"/>
        </w:rPr>
        <w:t xml:space="preserve"> </w:t>
      </w:r>
      <w:r w:rsidR="005C6BF4">
        <w:rPr>
          <w:lang w:val="fr-FR"/>
        </w:rPr>
        <w:t>n</w:t>
      </w:r>
      <w:r w:rsidR="00603708">
        <w:rPr>
          <w:lang w:val="fr-FR"/>
        </w:rPr>
        <w:t>’</w:t>
      </w:r>
      <w:r w:rsidR="005C6BF4">
        <w:rPr>
          <w:lang w:val="fr-FR"/>
        </w:rPr>
        <w:t>a</w:t>
      </w:r>
      <w:r w:rsidR="00D523DA">
        <w:rPr>
          <w:lang w:val="fr-FR"/>
        </w:rPr>
        <w:t>yant</w:t>
      </w:r>
      <w:r w:rsidR="005C6BF4">
        <w:rPr>
          <w:lang w:val="fr-FR"/>
        </w:rPr>
        <w:t xml:space="preserve"> formulé aucune demande </w:t>
      </w:r>
      <w:r w:rsidR="00FD0E52">
        <w:rPr>
          <w:lang w:val="fr-FR"/>
        </w:rPr>
        <w:t>pour</w:t>
      </w:r>
      <w:r w:rsidR="005C6BF4">
        <w:rPr>
          <w:lang w:val="fr-FR"/>
        </w:rPr>
        <w:t xml:space="preserve"> des </w:t>
      </w:r>
      <w:r w:rsidR="00E77CB3" w:rsidRPr="00C611D8">
        <w:rPr>
          <w:lang w:val="fr-FR"/>
        </w:rPr>
        <w:t>frais et dépens</w:t>
      </w:r>
      <w:r w:rsidR="005C6BF4">
        <w:rPr>
          <w:lang w:val="fr-FR"/>
        </w:rPr>
        <w:t>, la Cour estime qu</w:t>
      </w:r>
      <w:r w:rsidR="00603708">
        <w:rPr>
          <w:lang w:val="fr-FR"/>
        </w:rPr>
        <w:t>’</w:t>
      </w:r>
      <w:r w:rsidR="005C6BF4">
        <w:rPr>
          <w:lang w:val="fr-FR"/>
        </w:rPr>
        <w:t xml:space="preserve">il </w:t>
      </w:r>
      <w:r w:rsidR="00FD0E52">
        <w:rPr>
          <w:lang w:val="fr-FR"/>
        </w:rPr>
        <w:t>n</w:t>
      </w:r>
      <w:r w:rsidR="00603708">
        <w:rPr>
          <w:lang w:val="fr-FR"/>
        </w:rPr>
        <w:t>’</w:t>
      </w:r>
      <w:r w:rsidR="005C6BF4">
        <w:rPr>
          <w:lang w:val="fr-FR"/>
        </w:rPr>
        <w:t xml:space="preserve">y a </w:t>
      </w:r>
      <w:r w:rsidR="00FD0E52">
        <w:rPr>
          <w:lang w:val="fr-FR"/>
        </w:rPr>
        <w:t xml:space="preserve">pas </w:t>
      </w:r>
      <w:r w:rsidR="005C6BF4">
        <w:rPr>
          <w:lang w:val="fr-FR"/>
        </w:rPr>
        <w:t xml:space="preserve">lieu de </w:t>
      </w:r>
      <w:r w:rsidR="00FD0E52">
        <w:rPr>
          <w:lang w:val="fr-FR"/>
        </w:rPr>
        <w:t>lui</w:t>
      </w:r>
      <w:r w:rsidR="005C6BF4">
        <w:rPr>
          <w:lang w:val="fr-FR"/>
        </w:rPr>
        <w:t xml:space="preserve"> accorder </w:t>
      </w:r>
      <w:r w:rsidR="00FD0E52">
        <w:rPr>
          <w:lang w:val="fr-FR"/>
        </w:rPr>
        <w:t xml:space="preserve">une somme </w:t>
      </w:r>
      <w:r w:rsidR="005C6BF4">
        <w:rPr>
          <w:lang w:val="fr-FR"/>
        </w:rPr>
        <w:t>à ce titre.</w:t>
      </w:r>
    </w:p>
    <w:p w:rsidR="00E77CB3" w:rsidRPr="00C611D8" w:rsidRDefault="003A0DA9" w:rsidP="00E77CB3">
      <w:pPr>
        <w:pStyle w:val="ECHRHeading2"/>
        <w:outlineLvl w:val="0"/>
        <w:rPr>
          <w:lang w:val="fr-FR"/>
        </w:rPr>
      </w:pPr>
      <w:r>
        <w:rPr>
          <w:lang w:val="fr-FR"/>
        </w:rPr>
        <w:t>D</w:t>
      </w:r>
      <w:r w:rsidR="00E77CB3" w:rsidRPr="00C611D8">
        <w:rPr>
          <w:lang w:val="fr-FR"/>
        </w:rPr>
        <w:t>.  Intérêts moratoires</w:t>
      </w:r>
    </w:p>
    <w:p w:rsidR="00E77CB3" w:rsidRPr="00C611D8" w:rsidRDefault="001C4340" w:rsidP="00C63990">
      <w:pPr>
        <w:pStyle w:val="ECHRPara"/>
        <w:rPr>
          <w:lang w:val="fr-FR"/>
        </w:rPr>
      </w:pPr>
      <w:r>
        <w:rPr>
          <w:lang w:val="fr-FR"/>
        </w:rPr>
        <w:fldChar w:fldCharType="begin"/>
      </w:r>
      <w:r>
        <w:rPr>
          <w:lang w:val="fr-FR"/>
        </w:rPr>
        <w:instrText xml:space="preserve"> SEQ level0 \*arabic </w:instrText>
      </w:r>
      <w:r>
        <w:rPr>
          <w:lang w:val="fr-FR"/>
        </w:rPr>
        <w:fldChar w:fldCharType="separate"/>
      </w:r>
      <w:r w:rsidR="00B378F9">
        <w:rPr>
          <w:noProof/>
          <w:lang w:val="fr-FR"/>
        </w:rPr>
        <w:t>253</w:t>
      </w:r>
      <w:r>
        <w:rPr>
          <w:lang w:val="fr-FR"/>
        </w:rPr>
        <w:fldChar w:fldCharType="end"/>
      </w:r>
      <w:r w:rsidR="00F76D5A">
        <w:rPr>
          <w:lang w:val="fr-FR"/>
        </w:rPr>
        <w:t xml:space="preserve"> </w:t>
      </w:r>
      <w:r w:rsidR="00E77CB3" w:rsidRPr="00C611D8">
        <w:rPr>
          <w:lang w:val="fr-FR"/>
        </w:rPr>
        <w:t>  La Cour juge approprié de calquer le taux des intérêts moratoires sur le taux d</w:t>
      </w:r>
      <w:r w:rsidR="00603708">
        <w:rPr>
          <w:lang w:val="fr-FR"/>
        </w:rPr>
        <w:t>’</w:t>
      </w:r>
      <w:r w:rsidR="00E77CB3" w:rsidRPr="00C611D8">
        <w:rPr>
          <w:lang w:val="fr-FR"/>
        </w:rPr>
        <w:t>intérêt de la facilité de prêt marginal de la Banque centrale européenne majoré de trois points de pourcentage.</w:t>
      </w:r>
    </w:p>
    <w:p w:rsidR="00E77CB3" w:rsidRPr="00C611D8" w:rsidRDefault="00E77CB3" w:rsidP="00E77CB3">
      <w:pPr>
        <w:pStyle w:val="ECHRTitle1"/>
        <w:rPr>
          <w:lang w:val="fr-FR"/>
        </w:rPr>
      </w:pPr>
      <w:r w:rsidRPr="00C611D8">
        <w:rPr>
          <w:lang w:val="fr-FR"/>
        </w:rPr>
        <w:t>PAR CES MO</w:t>
      </w:r>
      <w:r w:rsidR="00F66DCF">
        <w:rPr>
          <w:lang w:val="fr-FR"/>
        </w:rPr>
        <w:t>TIFS, LA COUR</w:t>
      </w:r>
      <w:r w:rsidR="001C4340" w:rsidRPr="00C611D8">
        <w:rPr>
          <w:lang w:val="fr-FR"/>
        </w:rPr>
        <w:t>, À L</w:t>
      </w:r>
      <w:r w:rsidR="00603708">
        <w:rPr>
          <w:lang w:val="fr-FR"/>
        </w:rPr>
        <w:t>’</w:t>
      </w:r>
      <w:r w:rsidR="001C4340" w:rsidRPr="00C611D8">
        <w:rPr>
          <w:lang w:val="fr-FR"/>
        </w:rPr>
        <w:t>UNANIMITÉ,</w:t>
      </w:r>
    </w:p>
    <w:p w:rsidR="00717B7A" w:rsidRDefault="00E77CB3" w:rsidP="00717B7A">
      <w:pPr>
        <w:pStyle w:val="JuList"/>
        <w:rPr>
          <w:color w:val="000000"/>
          <w:lang w:val="fr-FR"/>
        </w:rPr>
      </w:pPr>
      <w:r w:rsidRPr="00C611D8">
        <w:rPr>
          <w:lang w:val="fr-FR"/>
        </w:rPr>
        <w:t>1.  </w:t>
      </w:r>
      <w:r w:rsidR="00717B7A">
        <w:rPr>
          <w:i/>
          <w:lang w:val="fr-FR"/>
        </w:rPr>
        <w:t>Joint</w:t>
      </w:r>
      <w:r w:rsidRPr="00C611D8">
        <w:rPr>
          <w:lang w:val="fr-FR"/>
        </w:rPr>
        <w:t xml:space="preserve"> </w:t>
      </w:r>
      <w:r w:rsidR="00717B7A" w:rsidRPr="00717B7A">
        <w:rPr>
          <w:lang w:val="fr-FR"/>
        </w:rPr>
        <w:t>au fond l</w:t>
      </w:r>
      <w:r w:rsidR="00603708">
        <w:rPr>
          <w:lang w:val="fr-FR"/>
        </w:rPr>
        <w:t>’</w:t>
      </w:r>
      <w:r w:rsidR="00717B7A" w:rsidRPr="00717B7A">
        <w:rPr>
          <w:lang w:val="fr-FR"/>
        </w:rPr>
        <w:t>exception préliminaire du Gouvernement tirée de la perte de la qualité de victime</w:t>
      </w:r>
      <w:r w:rsidR="00DB371D">
        <w:rPr>
          <w:lang w:val="fr-FR"/>
        </w:rPr>
        <w:t>,</w:t>
      </w:r>
      <w:r w:rsidR="00717B7A" w:rsidRPr="00717B7A">
        <w:rPr>
          <w:lang w:val="fr-FR"/>
        </w:rPr>
        <w:t xml:space="preserve"> </w:t>
      </w:r>
      <w:r w:rsidR="00717B7A" w:rsidRPr="00717B7A">
        <w:rPr>
          <w:color w:val="000000"/>
          <w:lang w:val="fr-FR"/>
        </w:rPr>
        <w:t>et la</w:t>
      </w:r>
      <w:r w:rsidR="00717B7A" w:rsidRPr="00717B7A">
        <w:rPr>
          <w:lang w:val="fr-FR"/>
        </w:rPr>
        <w:t xml:space="preserve"> </w:t>
      </w:r>
      <w:r w:rsidR="00717B7A" w:rsidRPr="00717B7A">
        <w:rPr>
          <w:i/>
          <w:iCs/>
          <w:lang w:val="fr-FR"/>
        </w:rPr>
        <w:t>rejette</w:t>
      </w:r>
      <w:r w:rsidR="00717B7A" w:rsidRPr="00717B7A">
        <w:rPr>
          <w:i/>
          <w:iCs/>
          <w:color w:val="000000"/>
          <w:lang w:val="fr-FR"/>
        </w:rPr>
        <w:t> </w:t>
      </w:r>
      <w:r w:rsidR="00717B7A" w:rsidRPr="00717B7A">
        <w:rPr>
          <w:color w:val="000000"/>
          <w:lang w:val="fr-FR"/>
        </w:rPr>
        <w:t>;</w:t>
      </w:r>
    </w:p>
    <w:p w:rsidR="00E77CB3" w:rsidRPr="00C611D8" w:rsidRDefault="00E77CB3" w:rsidP="00E77CB3">
      <w:pPr>
        <w:pStyle w:val="JuList"/>
        <w:rPr>
          <w:lang w:val="fr-FR"/>
        </w:rPr>
      </w:pPr>
    </w:p>
    <w:p w:rsidR="00603708" w:rsidRDefault="00717B7A" w:rsidP="00717B7A">
      <w:pPr>
        <w:pStyle w:val="JuList"/>
        <w:rPr>
          <w:iCs/>
          <w:lang w:val="fr-FR"/>
        </w:rPr>
      </w:pPr>
      <w:r>
        <w:rPr>
          <w:color w:val="000000"/>
          <w:lang w:val="fr-FR"/>
        </w:rPr>
        <w:t>2.</w:t>
      </w:r>
      <w:r w:rsidR="003A0DA9">
        <w:rPr>
          <w:color w:val="000000"/>
          <w:lang w:val="fr-FR"/>
        </w:rPr>
        <w:t>  </w:t>
      </w:r>
      <w:r>
        <w:rPr>
          <w:i/>
          <w:color w:val="000000"/>
          <w:lang w:val="fr-FR"/>
        </w:rPr>
        <w:t xml:space="preserve">Joint </w:t>
      </w:r>
      <w:r>
        <w:rPr>
          <w:lang w:val="fr-FR"/>
        </w:rPr>
        <w:t>au fond l</w:t>
      </w:r>
      <w:r w:rsidR="00603708">
        <w:rPr>
          <w:lang w:val="fr-FR"/>
        </w:rPr>
        <w:t>’</w:t>
      </w:r>
      <w:r>
        <w:rPr>
          <w:lang w:val="fr-FR"/>
        </w:rPr>
        <w:t xml:space="preserve">exception </w:t>
      </w:r>
      <w:r w:rsidRPr="00717B7A">
        <w:rPr>
          <w:lang w:val="fr-FR"/>
        </w:rPr>
        <w:t>préli</w:t>
      </w:r>
      <w:r>
        <w:rPr>
          <w:lang w:val="fr-FR"/>
        </w:rPr>
        <w:t>minaire du Gouvernement tirée du non-épuisement des voies de recours internes, dans la mesure où elle concerne l</w:t>
      </w:r>
      <w:r w:rsidR="00603708">
        <w:rPr>
          <w:lang w:val="fr-FR"/>
        </w:rPr>
        <w:t>’</w:t>
      </w:r>
      <w:r>
        <w:rPr>
          <w:lang w:val="fr-FR"/>
        </w:rPr>
        <w:t>absence d</w:t>
      </w:r>
      <w:r w:rsidR="00603708">
        <w:rPr>
          <w:lang w:val="fr-FR"/>
        </w:rPr>
        <w:t>’</w:t>
      </w:r>
      <w:r>
        <w:rPr>
          <w:lang w:val="fr-FR"/>
        </w:rPr>
        <w:t>introduction d</w:t>
      </w:r>
      <w:r w:rsidR="00603708">
        <w:rPr>
          <w:lang w:val="fr-FR"/>
        </w:rPr>
        <w:t>’</w:t>
      </w:r>
      <w:r>
        <w:rPr>
          <w:lang w:val="fr-FR"/>
        </w:rPr>
        <w:t>une action civile ultérieure</w:t>
      </w:r>
      <w:r w:rsidR="00E25178">
        <w:rPr>
          <w:lang w:val="fr-FR"/>
        </w:rPr>
        <w:t xml:space="preserve"> en sus de la constitution de partie civile</w:t>
      </w:r>
      <w:r>
        <w:rPr>
          <w:lang w:val="fr-FR"/>
        </w:rPr>
        <w:t xml:space="preserve">, </w:t>
      </w:r>
      <w:r w:rsidRPr="00717B7A">
        <w:rPr>
          <w:color w:val="000000"/>
          <w:lang w:val="fr-FR"/>
        </w:rPr>
        <w:t>et la</w:t>
      </w:r>
      <w:r w:rsidRPr="00717B7A">
        <w:rPr>
          <w:lang w:val="fr-FR"/>
        </w:rPr>
        <w:t xml:space="preserve"> </w:t>
      </w:r>
      <w:r w:rsidRPr="00717B7A">
        <w:rPr>
          <w:i/>
          <w:iCs/>
          <w:lang w:val="fr-FR"/>
        </w:rPr>
        <w:t>rejette</w:t>
      </w:r>
      <w:r w:rsidR="00E25178">
        <w:rPr>
          <w:i/>
          <w:iCs/>
          <w:lang w:val="fr-FR"/>
        </w:rPr>
        <w:t> </w:t>
      </w:r>
      <w:r w:rsidR="00E25178">
        <w:rPr>
          <w:iCs/>
          <w:lang w:val="fr-FR"/>
        </w:rPr>
        <w:t>;</w:t>
      </w:r>
    </w:p>
    <w:p w:rsidR="00E77CB3" w:rsidRPr="00C611D8" w:rsidRDefault="00E77CB3" w:rsidP="00E77CB3">
      <w:pPr>
        <w:pStyle w:val="JuList"/>
        <w:rPr>
          <w:lang w:val="fr-FR"/>
        </w:rPr>
      </w:pPr>
    </w:p>
    <w:p w:rsidR="00E25178" w:rsidRDefault="00E25178" w:rsidP="00E77CB3">
      <w:pPr>
        <w:pStyle w:val="JuList"/>
        <w:rPr>
          <w:rStyle w:val="sb8d990e2"/>
          <w:lang w:val="fr-FR"/>
        </w:rPr>
      </w:pPr>
      <w:r>
        <w:rPr>
          <w:lang w:val="fr-FR"/>
        </w:rPr>
        <w:t>3</w:t>
      </w:r>
      <w:r w:rsidR="00E77CB3" w:rsidRPr="00C611D8">
        <w:rPr>
          <w:lang w:val="fr-FR"/>
        </w:rPr>
        <w:t>.  </w:t>
      </w:r>
      <w:r w:rsidRPr="00E25178">
        <w:rPr>
          <w:rStyle w:val="s6b621b36"/>
          <w:i/>
          <w:lang w:val="fr-FR"/>
        </w:rPr>
        <w:t>Déclare</w:t>
      </w:r>
      <w:r w:rsidRPr="00E25178">
        <w:rPr>
          <w:rStyle w:val="s6b621b36"/>
          <w:lang w:val="fr-FR"/>
        </w:rPr>
        <w:t>,</w:t>
      </w:r>
      <w:r w:rsidRPr="00E25178">
        <w:rPr>
          <w:rStyle w:val="sb8d990e2"/>
          <w:lang w:val="fr-FR"/>
        </w:rPr>
        <w:t xml:space="preserve"> la requête recevable quant aux griefs tirés de l</w:t>
      </w:r>
      <w:r w:rsidR="00603708">
        <w:rPr>
          <w:rStyle w:val="sb8d990e2"/>
          <w:lang w:val="fr-FR"/>
        </w:rPr>
        <w:t>’</w:t>
      </w:r>
      <w:r w:rsidRPr="00E25178">
        <w:rPr>
          <w:rStyle w:val="sb8d990e2"/>
          <w:lang w:val="fr-FR"/>
        </w:rPr>
        <w:t>article 3 de la Convention</w:t>
      </w:r>
      <w:r>
        <w:rPr>
          <w:rStyle w:val="sb8d990e2"/>
          <w:lang w:val="fr-FR"/>
        </w:rPr>
        <w:t> ;</w:t>
      </w:r>
    </w:p>
    <w:p w:rsidR="00E77CB3" w:rsidRPr="00C611D8" w:rsidRDefault="00E77CB3" w:rsidP="00AC0DAF">
      <w:pPr>
        <w:pStyle w:val="JuList"/>
        <w:ind w:left="0" w:firstLine="0"/>
        <w:rPr>
          <w:lang w:val="fr-FR"/>
        </w:rPr>
      </w:pPr>
    </w:p>
    <w:p w:rsidR="00E77CB3" w:rsidRPr="00C611D8" w:rsidRDefault="00E25178" w:rsidP="00E77CB3">
      <w:pPr>
        <w:pStyle w:val="JuList"/>
        <w:rPr>
          <w:lang w:val="fr-FR"/>
        </w:rPr>
      </w:pPr>
      <w:r>
        <w:rPr>
          <w:lang w:val="fr-FR"/>
        </w:rPr>
        <w:t>4</w:t>
      </w:r>
      <w:r w:rsidR="00E77CB3" w:rsidRPr="00C611D8">
        <w:rPr>
          <w:lang w:val="fr-FR"/>
        </w:rPr>
        <w:t>.  </w:t>
      </w:r>
      <w:r w:rsidR="00E77CB3" w:rsidRPr="00C611D8">
        <w:rPr>
          <w:i/>
          <w:lang w:val="fr-FR"/>
        </w:rPr>
        <w:t>Dit</w:t>
      </w:r>
      <w:r w:rsidR="001C4340" w:rsidRPr="00C611D8">
        <w:rPr>
          <w:lang w:val="fr-FR"/>
        </w:rPr>
        <w:t xml:space="preserve"> </w:t>
      </w:r>
      <w:r w:rsidR="00E77CB3" w:rsidRPr="00C611D8">
        <w:rPr>
          <w:lang w:val="fr-FR"/>
        </w:rPr>
        <w:t>qu</w:t>
      </w:r>
      <w:r w:rsidR="00603708">
        <w:rPr>
          <w:lang w:val="fr-FR"/>
        </w:rPr>
        <w:t>’</w:t>
      </w:r>
      <w:r w:rsidR="00E77CB3" w:rsidRPr="00C611D8">
        <w:rPr>
          <w:lang w:val="fr-FR"/>
        </w:rPr>
        <w:t>il y a eu violation de l</w:t>
      </w:r>
      <w:r w:rsidR="00603708">
        <w:rPr>
          <w:lang w:val="fr-FR"/>
        </w:rPr>
        <w:t>’</w:t>
      </w:r>
      <w:r w:rsidR="00E77CB3" w:rsidRPr="00C611D8">
        <w:rPr>
          <w:lang w:val="fr-FR"/>
        </w:rPr>
        <w:t xml:space="preserve">article </w:t>
      </w:r>
      <w:r>
        <w:rPr>
          <w:lang w:val="fr-FR"/>
        </w:rPr>
        <w:t>3</w:t>
      </w:r>
      <w:r w:rsidR="00E77CB3" w:rsidRPr="00C611D8">
        <w:rPr>
          <w:lang w:val="fr-FR"/>
        </w:rPr>
        <w:t xml:space="preserve"> de la Convention</w:t>
      </w:r>
      <w:r>
        <w:rPr>
          <w:lang w:val="fr-FR"/>
        </w:rPr>
        <w:t xml:space="preserve"> dans son volet matériel</w:t>
      </w:r>
      <w:r w:rsidR="00E77CB3" w:rsidRPr="00C611D8">
        <w:rPr>
          <w:lang w:val="fr-FR"/>
        </w:rPr>
        <w:t> ;</w:t>
      </w:r>
    </w:p>
    <w:p w:rsidR="00E77CB3" w:rsidRPr="00C611D8" w:rsidRDefault="00E77CB3" w:rsidP="00E77CB3">
      <w:pPr>
        <w:pStyle w:val="JuList"/>
        <w:rPr>
          <w:lang w:val="fr-FR"/>
        </w:rPr>
      </w:pPr>
    </w:p>
    <w:p w:rsidR="001C4340" w:rsidRPr="00C611D8" w:rsidRDefault="00E25178" w:rsidP="00E77CB3">
      <w:pPr>
        <w:pStyle w:val="JuList"/>
        <w:rPr>
          <w:lang w:val="fr-FR"/>
        </w:rPr>
      </w:pPr>
      <w:r>
        <w:rPr>
          <w:lang w:val="fr-FR"/>
        </w:rPr>
        <w:t>5</w:t>
      </w:r>
      <w:r w:rsidR="00E77CB3" w:rsidRPr="00C611D8">
        <w:rPr>
          <w:lang w:val="fr-FR"/>
        </w:rPr>
        <w:t>.  </w:t>
      </w:r>
      <w:r w:rsidR="00E77CB3" w:rsidRPr="00C611D8">
        <w:rPr>
          <w:i/>
          <w:lang w:val="fr-FR"/>
        </w:rPr>
        <w:t>Dit</w:t>
      </w:r>
      <w:r w:rsidR="001C4340" w:rsidRPr="00C611D8">
        <w:rPr>
          <w:lang w:val="fr-FR"/>
        </w:rPr>
        <w:t xml:space="preserve"> </w:t>
      </w:r>
      <w:r w:rsidRPr="00C611D8">
        <w:rPr>
          <w:lang w:val="fr-FR"/>
        </w:rPr>
        <w:t>qu</w:t>
      </w:r>
      <w:r w:rsidR="00603708">
        <w:rPr>
          <w:lang w:val="fr-FR"/>
        </w:rPr>
        <w:t>’</w:t>
      </w:r>
      <w:r w:rsidRPr="00C611D8">
        <w:rPr>
          <w:lang w:val="fr-FR"/>
        </w:rPr>
        <w:t>il y a eu violation de l</w:t>
      </w:r>
      <w:r w:rsidR="00603708">
        <w:rPr>
          <w:lang w:val="fr-FR"/>
        </w:rPr>
        <w:t>’</w:t>
      </w:r>
      <w:r w:rsidRPr="00C611D8">
        <w:rPr>
          <w:lang w:val="fr-FR"/>
        </w:rPr>
        <w:t xml:space="preserve">article </w:t>
      </w:r>
      <w:r>
        <w:rPr>
          <w:lang w:val="fr-FR"/>
        </w:rPr>
        <w:t>3</w:t>
      </w:r>
      <w:r w:rsidRPr="00C611D8">
        <w:rPr>
          <w:lang w:val="fr-FR"/>
        </w:rPr>
        <w:t xml:space="preserve"> de la Convention</w:t>
      </w:r>
      <w:r>
        <w:rPr>
          <w:lang w:val="fr-FR"/>
        </w:rPr>
        <w:t xml:space="preserve"> dans son volet procédural</w:t>
      </w:r>
      <w:r w:rsidR="00E77CB3" w:rsidRPr="00C611D8">
        <w:rPr>
          <w:lang w:val="fr-FR"/>
        </w:rPr>
        <w:t> ;</w:t>
      </w:r>
    </w:p>
    <w:p w:rsidR="00E77CB3" w:rsidRPr="00C611D8" w:rsidRDefault="00E77CB3" w:rsidP="00E77CB3">
      <w:pPr>
        <w:pStyle w:val="JuList"/>
        <w:rPr>
          <w:lang w:val="fr-FR"/>
        </w:rPr>
      </w:pPr>
    </w:p>
    <w:p w:rsidR="00E77CB3" w:rsidRPr="00C611D8" w:rsidRDefault="00E25178" w:rsidP="00E77CB3">
      <w:pPr>
        <w:pStyle w:val="JuList"/>
        <w:rPr>
          <w:lang w:val="fr-FR"/>
        </w:rPr>
      </w:pPr>
      <w:r>
        <w:rPr>
          <w:lang w:val="fr-FR"/>
        </w:rPr>
        <w:t>6</w:t>
      </w:r>
      <w:r w:rsidR="00E77CB3" w:rsidRPr="00C611D8">
        <w:rPr>
          <w:lang w:val="fr-FR"/>
        </w:rPr>
        <w:t>.  </w:t>
      </w:r>
      <w:r w:rsidR="00E77CB3" w:rsidRPr="00C611D8">
        <w:rPr>
          <w:i/>
          <w:lang w:val="fr-FR"/>
        </w:rPr>
        <w:t>Dit</w:t>
      </w:r>
    </w:p>
    <w:p w:rsidR="0032468C" w:rsidRDefault="00E77CB3" w:rsidP="00E77CB3">
      <w:pPr>
        <w:pStyle w:val="JuLista"/>
        <w:rPr>
          <w:lang w:val="fr-FR" w:eastAsia="en-GB"/>
        </w:rPr>
      </w:pPr>
      <w:r w:rsidRPr="00C611D8">
        <w:rPr>
          <w:lang w:val="fr-FR"/>
        </w:rPr>
        <w:t>a)  que l</w:t>
      </w:r>
      <w:r w:rsidR="00603708">
        <w:rPr>
          <w:lang w:val="fr-FR"/>
        </w:rPr>
        <w:t>’</w:t>
      </w:r>
      <w:r w:rsidRPr="00C611D8">
        <w:rPr>
          <w:lang w:val="fr-FR"/>
        </w:rPr>
        <w:t xml:space="preserve">État défendeur doit verser </w:t>
      </w:r>
      <w:r w:rsidR="001C4340" w:rsidRPr="00C611D8">
        <w:rPr>
          <w:lang w:val="fr-FR"/>
        </w:rPr>
        <w:t>au requérant</w:t>
      </w:r>
      <w:r w:rsidRPr="00C611D8">
        <w:rPr>
          <w:lang w:val="fr-FR"/>
        </w:rPr>
        <w:t>, dans les trois mois</w:t>
      </w:r>
      <w:r w:rsidR="00FD0E52">
        <w:rPr>
          <w:lang w:val="fr-FR"/>
        </w:rPr>
        <w:t xml:space="preserve"> </w:t>
      </w:r>
      <w:r w:rsidR="001C4340" w:rsidRPr="00C611D8">
        <w:rPr>
          <w:lang w:val="fr-FR"/>
        </w:rPr>
        <w:t>à compter du jour où l</w:t>
      </w:r>
      <w:r w:rsidR="00603708">
        <w:rPr>
          <w:lang w:val="fr-FR"/>
        </w:rPr>
        <w:t>’</w:t>
      </w:r>
      <w:r w:rsidR="001C4340" w:rsidRPr="00C611D8">
        <w:rPr>
          <w:lang w:val="fr-FR"/>
        </w:rPr>
        <w:t>arrêt sera devenu définitif</w:t>
      </w:r>
      <w:r w:rsidR="0092122C">
        <w:rPr>
          <w:lang w:val="fr-FR"/>
        </w:rPr>
        <w:t>,</w:t>
      </w:r>
      <w:r w:rsidR="001C4340" w:rsidRPr="00C611D8">
        <w:rPr>
          <w:lang w:val="fr-FR"/>
        </w:rPr>
        <w:t xml:space="preserve"> conformément à l</w:t>
      </w:r>
      <w:r w:rsidR="00603708">
        <w:rPr>
          <w:lang w:val="fr-FR"/>
        </w:rPr>
        <w:t>’</w:t>
      </w:r>
      <w:r w:rsidR="001C4340" w:rsidRPr="00C611D8">
        <w:rPr>
          <w:lang w:val="fr-FR"/>
        </w:rPr>
        <w:t>article 44 § 2 de la Convention</w:t>
      </w:r>
      <w:r w:rsidRPr="00C611D8">
        <w:rPr>
          <w:lang w:val="fr-FR"/>
        </w:rPr>
        <w:t xml:space="preserve">, </w:t>
      </w:r>
      <w:r w:rsidR="007A6C70">
        <w:rPr>
          <w:lang w:val="fr-FR"/>
        </w:rPr>
        <w:t>4</w:t>
      </w:r>
      <w:r w:rsidR="00740460">
        <w:rPr>
          <w:lang w:val="fr-FR"/>
        </w:rPr>
        <w:t>5 </w:t>
      </w:r>
      <w:r w:rsidR="00D94316">
        <w:rPr>
          <w:lang w:val="fr-FR"/>
        </w:rPr>
        <w:t>000 EUR (</w:t>
      </w:r>
      <w:r w:rsidR="007A6C70">
        <w:rPr>
          <w:lang w:val="fr-FR"/>
        </w:rPr>
        <w:t>quarante</w:t>
      </w:r>
      <w:r w:rsidR="00D94316">
        <w:rPr>
          <w:lang w:val="fr-FR"/>
        </w:rPr>
        <w:t xml:space="preserve">-cinq mille euros) </w:t>
      </w:r>
      <w:r w:rsidR="00D94316" w:rsidRPr="00C611D8">
        <w:rPr>
          <w:lang w:val="fr-FR" w:eastAsia="en-GB"/>
        </w:rPr>
        <w:t>plus tout montant pouvant être dû à titre d</w:t>
      </w:r>
      <w:r w:rsidR="00603708">
        <w:rPr>
          <w:lang w:val="fr-FR" w:eastAsia="en-GB"/>
        </w:rPr>
        <w:t>’</w:t>
      </w:r>
      <w:r w:rsidR="00D94316" w:rsidRPr="00C611D8">
        <w:rPr>
          <w:lang w:val="fr-FR" w:eastAsia="en-GB"/>
        </w:rPr>
        <w:t>impôt, pour dommage moral</w:t>
      </w:r>
      <w:r w:rsidR="00D94316">
        <w:rPr>
          <w:lang w:val="fr-FR" w:eastAsia="en-GB"/>
        </w:rPr>
        <w:t> ;</w:t>
      </w:r>
    </w:p>
    <w:p w:rsidR="00E77CB3" w:rsidRPr="00C611D8" w:rsidRDefault="00E77CB3" w:rsidP="00E77CB3">
      <w:pPr>
        <w:pStyle w:val="JuLista"/>
        <w:rPr>
          <w:lang w:val="fr-FR"/>
        </w:rPr>
      </w:pPr>
      <w:r w:rsidRPr="00C611D8">
        <w:rPr>
          <w:lang w:val="fr-FR"/>
        </w:rPr>
        <w:t>b)  qu</w:t>
      </w:r>
      <w:r w:rsidR="00603708">
        <w:rPr>
          <w:lang w:val="fr-FR"/>
        </w:rPr>
        <w:t>’</w:t>
      </w:r>
      <w:r w:rsidRPr="00C611D8">
        <w:rPr>
          <w:lang w:val="fr-FR"/>
        </w:rPr>
        <w:t>à compter de l</w:t>
      </w:r>
      <w:r w:rsidR="00603708">
        <w:rPr>
          <w:lang w:val="fr-FR"/>
        </w:rPr>
        <w:t>’</w:t>
      </w:r>
      <w:r w:rsidRPr="00C611D8">
        <w:rPr>
          <w:lang w:val="fr-FR"/>
        </w:rPr>
        <w:t>expiration dudit délai et jusqu</w:t>
      </w:r>
      <w:r w:rsidR="00603708">
        <w:rPr>
          <w:lang w:val="fr-FR"/>
        </w:rPr>
        <w:t>’</w:t>
      </w:r>
      <w:r w:rsidRPr="00C611D8">
        <w:rPr>
          <w:lang w:val="fr-FR"/>
        </w:rPr>
        <w:t>au versement, ce montant ser</w:t>
      </w:r>
      <w:r w:rsidR="00DB371D">
        <w:rPr>
          <w:lang w:val="fr-FR"/>
        </w:rPr>
        <w:t>a</w:t>
      </w:r>
      <w:r w:rsidRPr="00C611D8">
        <w:rPr>
          <w:lang w:val="fr-FR"/>
        </w:rPr>
        <w:t xml:space="preserve"> à majorer d</w:t>
      </w:r>
      <w:r w:rsidR="00603708">
        <w:rPr>
          <w:lang w:val="fr-FR"/>
        </w:rPr>
        <w:t>’</w:t>
      </w:r>
      <w:r w:rsidRPr="00C611D8">
        <w:rPr>
          <w:lang w:val="fr-FR"/>
        </w:rPr>
        <w:t>un intérêt simple à un taux égal à celui de la facilité de prêt marginal de la Banque centrale européenne applicable pendant cette période, augmenté de trois points de pourcentage ;</w:t>
      </w:r>
    </w:p>
    <w:p w:rsidR="00E77CB3" w:rsidRPr="00C611D8" w:rsidRDefault="00E77CB3" w:rsidP="00E77CB3">
      <w:pPr>
        <w:pStyle w:val="JuLista"/>
        <w:rPr>
          <w:lang w:val="fr-FR"/>
        </w:rPr>
      </w:pPr>
    </w:p>
    <w:p w:rsidR="00E77CB3" w:rsidRPr="00C611D8" w:rsidRDefault="00E25178" w:rsidP="00E77CB3">
      <w:pPr>
        <w:pStyle w:val="JuList"/>
        <w:rPr>
          <w:lang w:val="fr-FR"/>
        </w:rPr>
      </w:pPr>
      <w:r>
        <w:rPr>
          <w:lang w:val="fr-FR"/>
        </w:rPr>
        <w:t>7</w:t>
      </w:r>
      <w:r w:rsidR="00E77CB3" w:rsidRPr="00C611D8">
        <w:rPr>
          <w:lang w:val="fr-FR"/>
        </w:rPr>
        <w:t>.  </w:t>
      </w:r>
      <w:r w:rsidR="00E77CB3" w:rsidRPr="00C611D8">
        <w:rPr>
          <w:i/>
          <w:lang w:val="fr-FR"/>
        </w:rPr>
        <w:t>Rejette</w:t>
      </w:r>
      <w:r w:rsidR="001C4340" w:rsidRPr="00C611D8">
        <w:rPr>
          <w:lang w:val="fr-FR"/>
        </w:rPr>
        <w:t xml:space="preserve"> </w:t>
      </w:r>
      <w:r w:rsidR="00E77CB3" w:rsidRPr="00C611D8">
        <w:rPr>
          <w:lang w:val="fr-FR"/>
        </w:rPr>
        <w:t>la demande de satisfaction équitable pour le surplus.</w:t>
      </w:r>
    </w:p>
    <w:p w:rsidR="00E77CB3" w:rsidRPr="00C611D8" w:rsidRDefault="00E77CB3" w:rsidP="00E77CB3">
      <w:pPr>
        <w:pStyle w:val="JuParaLast"/>
        <w:rPr>
          <w:lang w:val="fr-FR"/>
        </w:rPr>
      </w:pPr>
      <w:r w:rsidRPr="00C611D8">
        <w:rPr>
          <w:lang w:val="fr-FR"/>
        </w:rPr>
        <w:t>Fait en françai</w:t>
      </w:r>
      <w:r w:rsidR="00603708">
        <w:rPr>
          <w:lang w:val="fr-FR"/>
        </w:rPr>
        <w:t xml:space="preserve">s, puis communiqué par écrit le </w:t>
      </w:r>
      <w:r w:rsidR="004E5E13">
        <w:rPr>
          <w:lang w:val="fr-FR"/>
        </w:rPr>
        <w:t>7 avril 2015</w:t>
      </w:r>
      <w:r w:rsidRPr="00C611D8">
        <w:rPr>
          <w:lang w:val="fr-FR"/>
        </w:rPr>
        <w:t>, en application de l</w:t>
      </w:r>
      <w:r w:rsidR="00603708">
        <w:rPr>
          <w:lang w:val="fr-FR"/>
        </w:rPr>
        <w:t>’</w:t>
      </w:r>
      <w:r w:rsidRPr="00C611D8">
        <w:rPr>
          <w:lang w:val="fr-FR"/>
        </w:rPr>
        <w:t>article 77 §§ 2 et 3 du règlement.</w:t>
      </w:r>
    </w:p>
    <w:p w:rsidR="00E77CB3" w:rsidRPr="00C611D8" w:rsidRDefault="001C4340" w:rsidP="002812E6">
      <w:pPr>
        <w:pStyle w:val="JuSigned"/>
        <w:keepNext/>
        <w:keepLines/>
        <w:tabs>
          <w:tab w:val="clear" w:pos="851"/>
          <w:tab w:val="center" w:pos="993"/>
        </w:tabs>
        <w:rPr>
          <w:lang w:val="fr-FR"/>
        </w:rPr>
      </w:pPr>
      <w:r w:rsidRPr="00C611D8">
        <w:rPr>
          <w:lang w:val="fr-FR"/>
        </w:rPr>
        <w:tab/>
      </w:r>
      <w:r w:rsidR="0068067A">
        <w:rPr>
          <w:lang w:val="fr-FR"/>
        </w:rPr>
        <w:t>Françoise Elens-Passos</w:t>
      </w:r>
      <w:r w:rsidR="00E77CB3" w:rsidRPr="00C611D8">
        <w:rPr>
          <w:lang w:val="fr-FR"/>
        </w:rPr>
        <w:tab/>
      </w:r>
      <w:r w:rsidR="00DC4083">
        <w:rPr>
          <w:szCs w:val="24"/>
          <w:lang w:val="fr-FR"/>
        </w:rPr>
        <w:t>Päivi</w:t>
      </w:r>
      <w:r w:rsidRPr="00C611D8">
        <w:rPr>
          <w:szCs w:val="24"/>
          <w:lang w:val="fr-FR"/>
        </w:rPr>
        <w:t xml:space="preserve"> </w:t>
      </w:r>
      <w:r w:rsidR="00DC4083">
        <w:rPr>
          <w:szCs w:val="24"/>
          <w:lang w:val="fr-FR"/>
        </w:rPr>
        <w:t>Hirvelä</w:t>
      </w:r>
      <w:r w:rsidR="00E77CB3" w:rsidRPr="00C611D8">
        <w:rPr>
          <w:lang w:val="fr-FR"/>
        </w:rPr>
        <w:br/>
      </w:r>
      <w:r w:rsidR="00E77CB3" w:rsidRPr="00C611D8">
        <w:rPr>
          <w:lang w:val="fr-FR"/>
        </w:rPr>
        <w:tab/>
      </w:r>
      <w:r w:rsidRPr="00C611D8">
        <w:rPr>
          <w:lang w:val="fr-FR"/>
        </w:rPr>
        <w:t>Greffi</w:t>
      </w:r>
      <w:r w:rsidR="0068067A">
        <w:rPr>
          <w:lang w:val="fr-FR"/>
        </w:rPr>
        <w:t>è</w:t>
      </w:r>
      <w:r w:rsidRPr="00C611D8">
        <w:rPr>
          <w:lang w:val="fr-FR"/>
        </w:rPr>
        <w:t>r</w:t>
      </w:r>
      <w:r w:rsidR="0068067A">
        <w:rPr>
          <w:lang w:val="fr-FR"/>
        </w:rPr>
        <w:t>e</w:t>
      </w:r>
      <w:r w:rsidR="00E77CB3" w:rsidRPr="00C611D8">
        <w:rPr>
          <w:lang w:val="fr-FR"/>
        </w:rPr>
        <w:tab/>
      </w:r>
      <w:r w:rsidRPr="00C611D8">
        <w:rPr>
          <w:lang w:val="fr-FR"/>
        </w:rPr>
        <w:t>Présidente</w:t>
      </w:r>
    </w:p>
    <w:p w:rsidR="004D15F3" w:rsidRPr="00C611D8" w:rsidRDefault="004D15F3" w:rsidP="00C36408">
      <w:pPr>
        <w:rPr>
          <w:lang w:val="fr-FR"/>
        </w:rPr>
      </w:pPr>
    </w:p>
    <w:p w:rsidR="00D75BB7" w:rsidRPr="00C611D8" w:rsidRDefault="00D75BB7">
      <w:pPr>
        <w:rPr>
          <w:lang w:val="fr-FR"/>
        </w:rPr>
      </w:pPr>
    </w:p>
    <w:sectPr w:rsidR="00D75BB7" w:rsidRPr="00C611D8" w:rsidSect="00A62736">
      <w:headerReference w:type="even" r:id="rId15"/>
      <w:headerReference w:type="default" r:id="rId16"/>
      <w:pgSz w:w="11906" w:h="16838" w:code="9"/>
      <w:pgMar w:top="2274" w:right="2274" w:bottom="2274" w:left="2274" w:header="1701" w:footer="720" w:gutter="0"/>
      <w:pgNumType w:start="1"/>
      <w:cols w:space="720"/>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9F47EF" w15:done="0"/>
  <w15:commentEx w15:paraId="1997639C" w15:done="0"/>
  <w15:commentEx w15:paraId="0255D70F" w15:done="0"/>
  <w15:commentEx w15:paraId="1EA9DBA6" w15:done="0"/>
  <w15:commentEx w15:paraId="4DDA76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36" w:rsidRDefault="00A62736" w:rsidP="00E77CB3">
      <w:r>
        <w:separator/>
      </w:r>
    </w:p>
  </w:endnote>
  <w:endnote w:type="continuationSeparator" w:id="0">
    <w:p w:rsidR="00A62736" w:rsidRDefault="00A62736" w:rsidP="00E7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150BFA" w:rsidRDefault="00A62736" w:rsidP="00A62736">
    <w:pPr>
      <w:jc w:val="center"/>
    </w:pPr>
    <w:r>
      <w:rPr>
        <w:noProof/>
        <w:lang w:val="it-IT" w:eastAsia="it-IT"/>
      </w:rPr>
      <w:drawing>
        <wp:inline distT="0" distB="0" distL="0" distR="0" wp14:anchorId="62143B40" wp14:editId="3D320242">
          <wp:extent cx="771525" cy="619125"/>
          <wp:effectExtent l="0" t="0" r="9525" b="9525"/>
          <wp:docPr id="71" name="Picture 7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62736" w:rsidRDefault="00A6273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36" w:rsidRDefault="00A62736" w:rsidP="00E77CB3">
      <w:r>
        <w:separator/>
      </w:r>
    </w:p>
  </w:footnote>
  <w:footnote w:type="continuationSeparator" w:id="0">
    <w:p w:rsidR="00A62736" w:rsidRDefault="00A62736" w:rsidP="00E7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A62736" w:rsidRDefault="00A62736" w:rsidP="00A62736">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A45145" w:rsidRDefault="00A62736" w:rsidP="00A62736">
    <w:pPr>
      <w:jc w:val="center"/>
    </w:pPr>
    <w:r>
      <w:rPr>
        <w:noProof/>
        <w:lang w:val="it-IT" w:eastAsia="it-IT"/>
      </w:rPr>
      <w:drawing>
        <wp:inline distT="0" distB="0" distL="0" distR="0" wp14:anchorId="71D0FF1B" wp14:editId="79D7ACFC">
          <wp:extent cx="2962275" cy="1219200"/>
          <wp:effectExtent l="0" t="0" r="9525" b="0"/>
          <wp:docPr id="36" name="Picture 3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62736" w:rsidRDefault="00A6273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DE593D" w:rsidRDefault="00A62736" w:rsidP="00C611D8">
    <w:pPr>
      <w:pStyle w:val="ECHRHeader"/>
    </w:pPr>
    <w:r>
      <w:rPr>
        <w:rStyle w:val="Numeropagina"/>
      </w:rPr>
      <w:fldChar w:fldCharType="begin"/>
    </w:r>
    <w:r>
      <w:rPr>
        <w:rStyle w:val="Numeropagina"/>
      </w:rPr>
      <w:instrText xml:space="preserve"> PAGE </w:instrText>
    </w:r>
    <w:r>
      <w:rPr>
        <w:rStyle w:val="Numeropagina"/>
      </w:rPr>
      <w:fldChar w:fldCharType="separate"/>
    </w:r>
    <w:r w:rsidR="00B378F9">
      <w:rPr>
        <w:rStyle w:val="Numeropagina"/>
        <w:noProof/>
      </w:rPr>
      <w:t>64</w:t>
    </w:r>
    <w:r>
      <w:rPr>
        <w:rStyle w:val="Numeropagina"/>
      </w:rPr>
      <w:fldChar w:fldCharType="end"/>
    </w:r>
    <w:r w:rsidRPr="00DE593D">
      <w:rPr>
        <w:rStyle w:val="Numeropagina"/>
      </w:rPr>
      <w:tab/>
    </w:r>
    <w:r>
      <w:rPr>
        <w:noProof/>
        <w:lang w:val="en-GB"/>
      </w:rPr>
      <w:t>ARRÊT</w:t>
    </w:r>
    <w:r w:rsidRPr="00DE593D">
      <w:t xml:space="preserve"> </w:t>
    </w:r>
    <w:r>
      <w:t>CESTARO c. ITALIE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36" w:rsidRPr="00DD5146" w:rsidRDefault="00A62736" w:rsidP="00C63990">
    <w:pPr>
      <w:pStyle w:val="ECHRHeader"/>
    </w:pPr>
    <w:r w:rsidRPr="00C63990">
      <w:rPr>
        <w:lang w:val="fr-FR"/>
      </w:rPr>
      <w:tab/>
    </w:r>
    <w:r>
      <w:rPr>
        <w:noProof/>
        <w:lang w:val="en-GB"/>
      </w:rPr>
      <w:t>ARRÊT</w:t>
    </w:r>
    <w:r w:rsidRPr="00EB7E63">
      <w:rPr>
        <w:lang w:val="en-GB"/>
      </w:rPr>
      <w:t xml:space="preserve"> </w:t>
    </w:r>
    <w:r>
      <w:rPr>
        <w:lang w:val="en-GB"/>
      </w:rPr>
      <w:t>CESTARO c. ITALIE</w:t>
    </w:r>
    <w:r w:rsidRPr="00EB7E63">
      <w:rPr>
        <w:lang w:val="en-GB"/>
      </w:rPr>
      <w:tab/>
    </w:r>
    <w:r>
      <w:rPr>
        <w:rStyle w:val="Numeropagina"/>
      </w:rPr>
      <w:fldChar w:fldCharType="begin"/>
    </w:r>
    <w:r>
      <w:rPr>
        <w:rStyle w:val="Numeropagina"/>
      </w:rPr>
      <w:instrText xml:space="preserve"> PAGE </w:instrText>
    </w:r>
    <w:r>
      <w:rPr>
        <w:rStyle w:val="Numeropagina"/>
      </w:rPr>
      <w:fldChar w:fldCharType="separate"/>
    </w:r>
    <w:r w:rsidR="003031EE">
      <w:rPr>
        <w:rStyle w:val="Numeropagina"/>
        <w:noProof/>
      </w:rPr>
      <w:t>1</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7D290D"/>
    <w:multiLevelType w:val="multilevel"/>
    <w:tmpl w:val="3E3CF1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E8750E"/>
    <w:multiLevelType w:val="multilevel"/>
    <w:tmpl w:val="040C001D"/>
    <w:styleLink w:val="1ai"/>
    <w:lvl w:ilvl="0">
      <w:start w:val="1"/>
      <w:numFmt w:val="decimal"/>
      <w:pStyle w:val="Titolo1"/>
      <w:lvlText w:val="%1)"/>
      <w:lvlJc w:val="left"/>
      <w:pPr>
        <w:ind w:left="360" w:hanging="360"/>
      </w:pPr>
    </w:lvl>
    <w:lvl w:ilvl="1">
      <w:start w:val="1"/>
      <w:numFmt w:val="lowerLetter"/>
      <w:pStyle w:val="Titolo2"/>
      <w:lvlText w:val="%2)"/>
      <w:lvlJc w:val="left"/>
      <w:pPr>
        <w:ind w:left="720" w:hanging="360"/>
      </w:pPr>
    </w:lvl>
    <w:lvl w:ilvl="2">
      <w:start w:val="1"/>
      <w:numFmt w:val="lowerRoman"/>
      <w:pStyle w:val="Titolo3"/>
      <w:lvlText w:val="%3)"/>
      <w:lvlJc w:val="left"/>
      <w:pPr>
        <w:ind w:left="1080" w:hanging="360"/>
      </w:pPr>
    </w:lvl>
    <w:lvl w:ilvl="3">
      <w:start w:val="1"/>
      <w:numFmt w:val="decimal"/>
      <w:pStyle w:val="Titolo4"/>
      <w:lvlText w:val="(%4)"/>
      <w:lvlJc w:val="left"/>
      <w:pPr>
        <w:ind w:left="1440" w:hanging="360"/>
      </w:pPr>
    </w:lvl>
    <w:lvl w:ilvl="4">
      <w:start w:val="1"/>
      <w:numFmt w:val="lowerLetter"/>
      <w:lvlText w:val="(%5)"/>
      <w:lvlJc w:val="left"/>
      <w:pPr>
        <w:ind w:left="1800" w:hanging="360"/>
      </w:pPr>
    </w:lvl>
    <w:lvl w:ilvl="5">
      <w:start w:val="1"/>
      <w:numFmt w:val="lowerRoman"/>
      <w:pStyle w:val="Titolo6"/>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1C06D32"/>
    <w:multiLevelType w:val="multilevel"/>
    <w:tmpl w:val="F66410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3B05B16"/>
    <w:multiLevelType w:val="singleLevel"/>
    <w:tmpl w:val="326805F0"/>
    <w:lvl w:ilvl="0">
      <w:numFmt w:val="bullet"/>
      <w:lvlText w:val="–"/>
      <w:lvlJc w:val="left"/>
      <w:pPr>
        <w:tabs>
          <w:tab w:val="num" w:pos="360"/>
        </w:tabs>
        <w:ind w:left="360" w:hanging="360"/>
      </w:pPr>
      <w:rPr>
        <w:rFonts w:hint="default"/>
      </w:rPr>
    </w:lvl>
  </w:abstractNum>
  <w:abstractNum w:abstractNumId="14">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8F46265"/>
    <w:multiLevelType w:val="hybridMultilevel"/>
    <w:tmpl w:val="FF9CB79A"/>
    <w:lvl w:ilvl="0" w:tplc="2626FF90">
      <w:start w:val="1"/>
      <w:numFmt w:val="upperLetter"/>
      <w:lvlText w:val="%1)"/>
      <w:lvlJc w:val="left"/>
      <w:pPr>
        <w:tabs>
          <w:tab w:val="num" w:pos="720"/>
        </w:tabs>
        <w:ind w:left="720" w:hanging="36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2B3B2614"/>
    <w:multiLevelType w:val="multilevel"/>
    <w:tmpl w:val="F66410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7351914"/>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18">
    <w:nsid w:val="395A76FF"/>
    <w:multiLevelType w:val="multilevel"/>
    <w:tmpl w:val="F66410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3E626E9E"/>
    <w:multiLevelType w:val="singleLevel"/>
    <w:tmpl w:val="E484225C"/>
    <w:lvl w:ilvl="0">
      <w:numFmt w:val="bullet"/>
      <w:lvlText w:val="–"/>
      <w:lvlJc w:val="left"/>
      <w:pPr>
        <w:tabs>
          <w:tab w:val="num" w:pos="360"/>
        </w:tabs>
        <w:ind w:left="360" w:hanging="360"/>
      </w:pPr>
      <w:rPr>
        <w:rFonts w:hint="default"/>
      </w:rPr>
    </w:lvl>
  </w:abstractNum>
  <w:abstractNum w:abstractNumId="20">
    <w:nsid w:val="4DEE7096"/>
    <w:multiLevelType w:val="multilevel"/>
    <w:tmpl w:val="F66410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5776240B"/>
    <w:multiLevelType w:val="hybridMultilevel"/>
    <w:tmpl w:val="29E0FFA0"/>
    <w:lvl w:ilvl="0" w:tplc="44B2EDA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C9F0C56"/>
    <w:multiLevelType w:val="hybridMultilevel"/>
    <w:tmpl w:val="FE48AB72"/>
    <w:lvl w:ilvl="0" w:tplc="08090019">
      <w:start w:val="1"/>
      <w:numFmt w:val="lowerLetter"/>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3">
    <w:nsid w:val="5F5C2693"/>
    <w:multiLevelType w:val="multilevel"/>
    <w:tmpl w:val="F664102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723A5DFC"/>
    <w:multiLevelType w:val="hybridMultilevel"/>
    <w:tmpl w:val="C672B82A"/>
    <w:lvl w:ilvl="0" w:tplc="DA5ECE8E">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6">
    <w:nsid w:val="784844C6"/>
    <w:multiLevelType w:val="singleLevel"/>
    <w:tmpl w:val="AEB835EC"/>
    <w:lvl w:ilvl="0">
      <w:start w:val="1"/>
      <w:numFmt w:val="bullet"/>
      <w:lvlText w:val=""/>
      <w:lvlJc w:val="left"/>
      <w:pPr>
        <w:tabs>
          <w:tab w:val="num" w:pos="360"/>
        </w:tabs>
        <w:ind w:left="357" w:hanging="357"/>
      </w:pPr>
      <w:rPr>
        <w:rFonts w:ascii="Symbol" w:hAnsi="Symbol" w:hint="default"/>
        <w:b w:val="0"/>
        <w:i w:val="0"/>
        <w:sz w:val="16"/>
      </w:rPr>
    </w:lvl>
  </w:abstractNum>
  <w:abstractNum w:abstractNumId="27">
    <w:nsid w:val="7BBE6CBD"/>
    <w:multiLevelType w:val="hybridMultilevel"/>
    <w:tmpl w:val="5B122094"/>
    <w:lvl w:ilvl="0" w:tplc="4FDAD2AA">
      <w:start w:val="1"/>
      <w:numFmt w:val="decimal"/>
      <w:pStyle w:val="JuAppQuestion"/>
      <w:lvlText w:val="%1."/>
      <w:lvlJc w:val="left"/>
      <w:pPr>
        <w:tabs>
          <w:tab w:val="num" w:pos="720"/>
        </w:tabs>
        <w:ind w:left="720" w:hanging="360"/>
      </w:pPr>
      <w:rPr>
        <w:rFonts w:ascii="Cambria" w:hAnsi="Cambria"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4"/>
  </w:num>
  <w:num w:numId="3">
    <w:abstractNumId w:val="11"/>
  </w:num>
  <w:num w:numId="4">
    <w:abstractNumId w:val="24"/>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13"/>
  </w:num>
  <w:num w:numId="16">
    <w:abstractNumId w:val="17"/>
  </w:num>
  <w:num w:numId="17">
    <w:abstractNumId w:val="19"/>
  </w:num>
  <w:num w:numId="18">
    <w:abstractNumId w:val="27"/>
  </w:num>
  <w:num w:numId="19">
    <w:abstractNumId w:val="22"/>
  </w:num>
  <w:num w:numId="20">
    <w:abstractNumId w:val="25"/>
  </w:num>
  <w:num w:numId="21">
    <w:abstractNumId w:val="20"/>
  </w:num>
  <w:num w:numId="22">
    <w:abstractNumId w:val="12"/>
  </w:num>
  <w:num w:numId="23">
    <w:abstractNumId w:val="16"/>
  </w:num>
  <w:num w:numId="24">
    <w:abstractNumId w:val="23"/>
  </w:num>
  <w:num w:numId="25">
    <w:abstractNumId w:val="18"/>
  </w:num>
  <w:num w:numId="26">
    <w:abstractNumId w:val="21"/>
  </w:num>
  <w:num w:numId="27">
    <w:abstractNumId w:val="10"/>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hideSpellingError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1C4340"/>
    <w:rsid w:val="000041F8"/>
    <w:rsid w:val="000042A8"/>
    <w:rsid w:val="00004308"/>
    <w:rsid w:val="00004836"/>
    <w:rsid w:val="00005BF0"/>
    <w:rsid w:val="000066BB"/>
    <w:rsid w:val="00006A35"/>
    <w:rsid w:val="00007154"/>
    <w:rsid w:val="00007929"/>
    <w:rsid w:val="000103AE"/>
    <w:rsid w:val="0001083B"/>
    <w:rsid w:val="000109CD"/>
    <w:rsid w:val="00010CFD"/>
    <w:rsid w:val="000118AB"/>
    <w:rsid w:val="000119BB"/>
    <w:rsid w:val="00011B44"/>
    <w:rsid w:val="00011D69"/>
    <w:rsid w:val="000121B9"/>
    <w:rsid w:val="00012AD3"/>
    <w:rsid w:val="00013AD6"/>
    <w:rsid w:val="00015C2D"/>
    <w:rsid w:val="00015F00"/>
    <w:rsid w:val="00017D27"/>
    <w:rsid w:val="000217BC"/>
    <w:rsid w:val="00022C1D"/>
    <w:rsid w:val="00022EC5"/>
    <w:rsid w:val="000234EA"/>
    <w:rsid w:val="000241F2"/>
    <w:rsid w:val="0002452A"/>
    <w:rsid w:val="00026371"/>
    <w:rsid w:val="00027DAF"/>
    <w:rsid w:val="00031B69"/>
    <w:rsid w:val="000325EF"/>
    <w:rsid w:val="00033544"/>
    <w:rsid w:val="0003372C"/>
    <w:rsid w:val="00034987"/>
    <w:rsid w:val="00037923"/>
    <w:rsid w:val="00041F0D"/>
    <w:rsid w:val="0004234C"/>
    <w:rsid w:val="00043D9E"/>
    <w:rsid w:val="000465EF"/>
    <w:rsid w:val="000473C1"/>
    <w:rsid w:val="000504DB"/>
    <w:rsid w:val="00053985"/>
    <w:rsid w:val="000602DF"/>
    <w:rsid w:val="00061513"/>
    <w:rsid w:val="00061B05"/>
    <w:rsid w:val="000632D5"/>
    <w:rsid w:val="00063F1E"/>
    <w:rsid w:val="000644EE"/>
    <w:rsid w:val="00066A71"/>
    <w:rsid w:val="00070C43"/>
    <w:rsid w:val="00075733"/>
    <w:rsid w:val="0007660E"/>
    <w:rsid w:val="00080223"/>
    <w:rsid w:val="0008093D"/>
    <w:rsid w:val="00082DDE"/>
    <w:rsid w:val="00083879"/>
    <w:rsid w:val="00084989"/>
    <w:rsid w:val="00085B68"/>
    <w:rsid w:val="00087856"/>
    <w:rsid w:val="00091D67"/>
    <w:rsid w:val="000925AD"/>
    <w:rsid w:val="000932F0"/>
    <w:rsid w:val="00093713"/>
    <w:rsid w:val="000940BE"/>
    <w:rsid w:val="00094C1E"/>
    <w:rsid w:val="00095852"/>
    <w:rsid w:val="000A0611"/>
    <w:rsid w:val="000A19FB"/>
    <w:rsid w:val="000A24EB"/>
    <w:rsid w:val="000A322F"/>
    <w:rsid w:val="000B1C19"/>
    <w:rsid w:val="000B27D7"/>
    <w:rsid w:val="000B3600"/>
    <w:rsid w:val="000B5793"/>
    <w:rsid w:val="000B6923"/>
    <w:rsid w:val="000C198D"/>
    <w:rsid w:val="000C3B25"/>
    <w:rsid w:val="000C490A"/>
    <w:rsid w:val="000C4E26"/>
    <w:rsid w:val="000C5F3C"/>
    <w:rsid w:val="000C6333"/>
    <w:rsid w:val="000C665A"/>
    <w:rsid w:val="000C6DCC"/>
    <w:rsid w:val="000D0FEF"/>
    <w:rsid w:val="000D477B"/>
    <w:rsid w:val="000D47AA"/>
    <w:rsid w:val="000D5576"/>
    <w:rsid w:val="000D5CDD"/>
    <w:rsid w:val="000D721F"/>
    <w:rsid w:val="000E069B"/>
    <w:rsid w:val="000E0E82"/>
    <w:rsid w:val="000E1DC5"/>
    <w:rsid w:val="000E223F"/>
    <w:rsid w:val="000E367F"/>
    <w:rsid w:val="000E4842"/>
    <w:rsid w:val="000E4F83"/>
    <w:rsid w:val="000E7D45"/>
    <w:rsid w:val="000E7EB6"/>
    <w:rsid w:val="000F0C1D"/>
    <w:rsid w:val="000F2F0C"/>
    <w:rsid w:val="000F3E49"/>
    <w:rsid w:val="000F7851"/>
    <w:rsid w:val="00100CFC"/>
    <w:rsid w:val="00101D48"/>
    <w:rsid w:val="001035DE"/>
    <w:rsid w:val="00103852"/>
    <w:rsid w:val="00103E01"/>
    <w:rsid w:val="0010466F"/>
    <w:rsid w:val="00104E23"/>
    <w:rsid w:val="00105BF7"/>
    <w:rsid w:val="00106E78"/>
    <w:rsid w:val="001104A2"/>
    <w:rsid w:val="0011094A"/>
    <w:rsid w:val="00111B0C"/>
    <w:rsid w:val="00116014"/>
    <w:rsid w:val="00116238"/>
    <w:rsid w:val="0011726A"/>
    <w:rsid w:val="00120B98"/>
    <w:rsid w:val="00120D6C"/>
    <w:rsid w:val="00123069"/>
    <w:rsid w:val="001257EC"/>
    <w:rsid w:val="00127363"/>
    <w:rsid w:val="001276C7"/>
    <w:rsid w:val="00130FEB"/>
    <w:rsid w:val="00132408"/>
    <w:rsid w:val="00133D33"/>
    <w:rsid w:val="0013454F"/>
    <w:rsid w:val="00134716"/>
    <w:rsid w:val="00134D64"/>
    <w:rsid w:val="00135A30"/>
    <w:rsid w:val="00135A42"/>
    <w:rsid w:val="00135AE3"/>
    <w:rsid w:val="0013612C"/>
    <w:rsid w:val="001370BD"/>
    <w:rsid w:val="00137A07"/>
    <w:rsid w:val="00137FF6"/>
    <w:rsid w:val="001407C3"/>
    <w:rsid w:val="00141650"/>
    <w:rsid w:val="001438C0"/>
    <w:rsid w:val="0014396D"/>
    <w:rsid w:val="00145CEF"/>
    <w:rsid w:val="00150C1A"/>
    <w:rsid w:val="0015148A"/>
    <w:rsid w:val="001515D3"/>
    <w:rsid w:val="00155EEC"/>
    <w:rsid w:val="00160700"/>
    <w:rsid w:val="0016188E"/>
    <w:rsid w:val="001620A8"/>
    <w:rsid w:val="00162A12"/>
    <w:rsid w:val="00164904"/>
    <w:rsid w:val="00166530"/>
    <w:rsid w:val="00166D64"/>
    <w:rsid w:val="0016763E"/>
    <w:rsid w:val="001703D7"/>
    <w:rsid w:val="001709C8"/>
    <w:rsid w:val="00171028"/>
    <w:rsid w:val="001733F7"/>
    <w:rsid w:val="00174EFA"/>
    <w:rsid w:val="00180B6F"/>
    <w:rsid w:val="0018284A"/>
    <w:rsid w:val="001832BD"/>
    <w:rsid w:val="00187E9A"/>
    <w:rsid w:val="00192EE7"/>
    <w:rsid w:val="00194169"/>
    <w:rsid w:val="001943B5"/>
    <w:rsid w:val="00194A6C"/>
    <w:rsid w:val="00195134"/>
    <w:rsid w:val="00197767"/>
    <w:rsid w:val="001A145B"/>
    <w:rsid w:val="001A5FE7"/>
    <w:rsid w:val="001A674C"/>
    <w:rsid w:val="001A6957"/>
    <w:rsid w:val="001A7432"/>
    <w:rsid w:val="001B07E6"/>
    <w:rsid w:val="001B28D1"/>
    <w:rsid w:val="001B366B"/>
    <w:rsid w:val="001B3B24"/>
    <w:rsid w:val="001B4C4F"/>
    <w:rsid w:val="001B6263"/>
    <w:rsid w:val="001B69FD"/>
    <w:rsid w:val="001C095F"/>
    <w:rsid w:val="001C0F98"/>
    <w:rsid w:val="001C1FAA"/>
    <w:rsid w:val="001C2A42"/>
    <w:rsid w:val="001C3464"/>
    <w:rsid w:val="001C417D"/>
    <w:rsid w:val="001C4340"/>
    <w:rsid w:val="001C54F0"/>
    <w:rsid w:val="001C657A"/>
    <w:rsid w:val="001C7E8C"/>
    <w:rsid w:val="001D1029"/>
    <w:rsid w:val="001D39FB"/>
    <w:rsid w:val="001D421F"/>
    <w:rsid w:val="001D63ED"/>
    <w:rsid w:val="001D7348"/>
    <w:rsid w:val="001D7566"/>
    <w:rsid w:val="001E035B"/>
    <w:rsid w:val="001E0961"/>
    <w:rsid w:val="001E34BD"/>
    <w:rsid w:val="001E3EAE"/>
    <w:rsid w:val="001E466A"/>
    <w:rsid w:val="001E5821"/>
    <w:rsid w:val="001E5D9C"/>
    <w:rsid w:val="001E64AE"/>
    <w:rsid w:val="001E6CFE"/>
    <w:rsid w:val="001E6F32"/>
    <w:rsid w:val="001F06A4"/>
    <w:rsid w:val="001F15E7"/>
    <w:rsid w:val="001F2145"/>
    <w:rsid w:val="001F23BF"/>
    <w:rsid w:val="001F2C36"/>
    <w:rsid w:val="001F2D04"/>
    <w:rsid w:val="001F2E03"/>
    <w:rsid w:val="001F346C"/>
    <w:rsid w:val="001F4FA7"/>
    <w:rsid w:val="001F6262"/>
    <w:rsid w:val="001F67B0"/>
    <w:rsid w:val="001F797F"/>
    <w:rsid w:val="001F7B3D"/>
    <w:rsid w:val="00201720"/>
    <w:rsid w:val="0020495F"/>
    <w:rsid w:val="00205F9F"/>
    <w:rsid w:val="0020671F"/>
    <w:rsid w:val="00206CA8"/>
    <w:rsid w:val="00207916"/>
    <w:rsid w:val="00210338"/>
    <w:rsid w:val="00210E00"/>
    <w:rsid w:val="002115FC"/>
    <w:rsid w:val="0021191D"/>
    <w:rsid w:val="00214096"/>
    <w:rsid w:val="0021423C"/>
    <w:rsid w:val="00217B7C"/>
    <w:rsid w:val="00224E3E"/>
    <w:rsid w:val="00225D9E"/>
    <w:rsid w:val="00226185"/>
    <w:rsid w:val="00227878"/>
    <w:rsid w:val="00230D00"/>
    <w:rsid w:val="00231DF7"/>
    <w:rsid w:val="00231FD1"/>
    <w:rsid w:val="002339E0"/>
    <w:rsid w:val="00233CF8"/>
    <w:rsid w:val="00234EA7"/>
    <w:rsid w:val="0023575D"/>
    <w:rsid w:val="00235CF9"/>
    <w:rsid w:val="00237148"/>
    <w:rsid w:val="002407C1"/>
    <w:rsid w:val="00240827"/>
    <w:rsid w:val="00241037"/>
    <w:rsid w:val="0024191A"/>
    <w:rsid w:val="0024222D"/>
    <w:rsid w:val="00244B0E"/>
    <w:rsid w:val="00244F6C"/>
    <w:rsid w:val="00245B61"/>
    <w:rsid w:val="00246244"/>
    <w:rsid w:val="00247F15"/>
    <w:rsid w:val="002501C0"/>
    <w:rsid w:val="002508AF"/>
    <w:rsid w:val="00251544"/>
    <w:rsid w:val="002532C5"/>
    <w:rsid w:val="00256872"/>
    <w:rsid w:val="002577E9"/>
    <w:rsid w:val="00260C03"/>
    <w:rsid w:val="002613BB"/>
    <w:rsid w:val="0026540E"/>
    <w:rsid w:val="00266409"/>
    <w:rsid w:val="00267FF4"/>
    <w:rsid w:val="002705A6"/>
    <w:rsid w:val="002709C6"/>
    <w:rsid w:val="00273820"/>
    <w:rsid w:val="00273D16"/>
    <w:rsid w:val="00275123"/>
    <w:rsid w:val="002812E6"/>
    <w:rsid w:val="00282240"/>
    <w:rsid w:val="00282FD5"/>
    <w:rsid w:val="00285243"/>
    <w:rsid w:val="002861E3"/>
    <w:rsid w:val="00286BF6"/>
    <w:rsid w:val="00287917"/>
    <w:rsid w:val="0029001E"/>
    <w:rsid w:val="00291A7F"/>
    <w:rsid w:val="002948AD"/>
    <w:rsid w:val="00297615"/>
    <w:rsid w:val="002A01CC"/>
    <w:rsid w:val="002A12AE"/>
    <w:rsid w:val="002A2163"/>
    <w:rsid w:val="002A2659"/>
    <w:rsid w:val="002A2F4E"/>
    <w:rsid w:val="002A331F"/>
    <w:rsid w:val="002A61B1"/>
    <w:rsid w:val="002A663C"/>
    <w:rsid w:val="002A7958"/>
    <w:rsid w:val="002B04BA"/>
    <w:rsid w:val="002B1F8F"/>
    <w:rsid w:val="002B2BC9"/>
    <w:rsid w:val="002B3856"/>
    <w:rsid w:val="002B444B"/>
    <w:rsid w:val="002B44DD"/>
    <w:rsid w:val="002B48FD"/>
    <w:rsid w:val="002B5887"/>
    <w:rsid w:val="002B7ED6"/>
    <w:rsid w:val="002C0B0F"/>
    <w:rsid w:val="002C0E27"/>
    <w:rsid w:val="002C1A90"/>
    <w:rsid w:val="002C2892"/>
    <w:rsid w:val="002C3040"/>
    <w:rsid w:val="002C493F"/>
    <w:rsid w:val="002C628E"/>
    <w:rsid w:val="002D022D"/>
    <w:rsid w:val="002D20F9"/>
    <w:rsid w:val="002D24BB"/>
    <w:rsid w:val="002E02CB"/>
    <w:rsid w:val="002E0BD1"/>
    <w:rsid w:val="002E1ACF"/>
    <w:rsid w:val="002E3F52"/>
    <w:rsid w:val="002E5171"/>
    <w:rsid w:val="002E59F1"/>
    <w:rsid w:val="002E5A60"/>
    <w:rsid w:val="002E72FC"/>
    <w:rsid w:val="002F032D"/>
    <w:rsid w:val="002F11EE"/>
    <w:rsid w:val="002F29C3"/>
    <w:rsid w:val="002F2AF7"/>
    <w:rsid w:val="002F54B1"/>
    <w:rsid w:val="002F634D"/>
    <w:rsid w:val="002F72CB"/>
    <w:rsid w:val="002F7326"/>
    <w:rsid w:val="002F7E1C"/>
    <w:rsid w:val="00301908"/>
    <w:rsid w:val="00301A75"/>
    <w:rsid w:val="00302F70"/>
    <w:rsid w:val="00302FAF"/>
    <w:rsid w:val="003031EE"/>
    <w:rsid w:val="0030336F"/>
    <w:rsid w:val="0030375E"/>
    <w:rsid w:val="00304757"/>
    <w:rsid w:val="00304F9C"/>
    <w:rsid w:val="00311A37"/>
    <w:rsid w:val="00312A30"/>
    <w:rsid w:val="0031308D"/>
    <w:rsid w:val="003148D0"/>
    <w:rsid w:val="00315227"/>
    <w:rsid w:val="003177A7"/>
    <w:rsid w:val="00320F72"/>
    <w:rsid w:val="003210D9"/>
    <w:rsid w:val="00322C8A"/>
    <w:rsid w:val="0032463E"/>
    <w:rsid w:val="0032468C"/>
    <w:rsid w:val="003252ED"/>
    <w:rsid w:val="00325430"/>
    <w:rsid w:val="00326224"/>
    <w:rsid w:val="00331E6C"/>
    <w:rsid w:val="00334955"/>
    <w:rsid w:val="00334A37"/>
    <w:rsid w:val="00336A81"/>
    <w:rsid w:val="00336D67"/>
    <w:rsid w:val="00337EE4"/>
    <w:rsid w:val="00340FFD"/>
    <w:rsid w:val="0034213D"/>
    <w:rsid w:val="00344BD2"/>
    <w:rsid w:val="00345AD4"/>
    <w:rsid w:val="003506B1"/>
    <w:rsid w:val="00351C35"/>
    <w:rsid w:val="0035224A"/>
    <w:rsid w:val="00353490"/>
    <w:rsid w:val="003534AD"/>
    <w:rsid w:val="00356AC3"/>
    <w:rsid w:val="00356AC7"/>
    <w:rsid w:val="00356B07"/>
    <w:rsid w:val="003609FA"/>
    <w:rsid w:val="003614F7"/>
    <w:rsid w:val="00361D67"/>
    <w:rsid w:val="0036293D"/>
    <w:rsid w:val="00362D1D"/>
    <w:rsid w:val="00362E8F"/>
    <w:rsid w:val="003640DC"/>
    <w:rsid w:val="0036452E"/>
    <w:rsid w:val="00365292"/>
    <w:rsid w:val="00370159"/>
    <w:rsid w:val="003710C8"/>
    <w:rsid w:val="00371240"/>
    <w:rsid w:val="003728B7"/>
    <w:rsid w:val="003729AB"/>
    <w:rsid w:val="003739A3"/>
    <w:rsid w:val="003744FE"/>
    <w:rsid w:val="003750BE"/>
    <w:rsid w:val="00375632"/>
    <w:rsid w:val="00375877"/>
    <w:rsid w:val="00380E94"/>
    <w:rsid w:val="00382AFD"/>
    <w:rsid w:val="003832A7"/>
    <w:rsid w:val="00384BAF"/>
    <w:rsid w:val="0038537C"/>
    <w:rsid w:val="00387B9D"/>
    <w:rsid w:val="0039364F"/>
    <w:rsid w:val="00393F0D"/>
    <w:rsid w:val="00396686"/>
    <w:rsid w:val="0039680F"/>
    <w:rsid w:val="0039778E"/>
    <w:rsid w:val="003A0A5B"/>
    <w:rsid w:val="003A0DA9"/>
    <w:rsid w:val="003A76E1"/>
    <w:rsid w:val="003B0573"/>
    <w:rsid w:val="003B0F33"/>
    <w:rsid w:val="003B1116"/>
    <w:rsid w:val="003B19DE"/>
    <w:rsid w:val="003B3030"/>
    <w:rsid w:val="003B345D"/>
    <w:rsid w:val="003B43CE"/>
    <w:rsid w:val="003B4941"/>
    <w:rsid w:val="003C365E"/>
    <w:rsid w:val="003C39F1"/>
    <w:rsid w:val="003C3B96"/>
    <w:rsid w:val="003C5714"/>
    <w:rsid w:val="003C6B9F"/>
    <w:rsid w:val="003C6E2A"/>
    <w:rsid w:val="003D0299"/>
    <w:rsid w:val="003D0AE8"/>
    <w:rsid w:val="003D1C66"/>
    <w:rsid w:val="003D222E"/>
    <w:rsid w:val="003D37A8"/>
    <w:rsid w:val="003D4B46"/>
    <w:rsid w:val="003D670C"/>
    <w:rsid w:val="003D70F8"/>
    <w:rsid w:val="003E0322"/>
    <w:rsid w:val="003E5D81"/>
    <w:rsid w:val="003E6D80"/>
    <w:rsid w:val="003F05FA"/>
    <w:rsid w:val="003F0FDA"/>
    <w:rsid w:val="003F244A"/>
    <w:rsid w:val="003F30B8"/>
    <w:rsid w:val="003F4C45"/>
    <w:rsid w:val="003F5BDD"/>
    <w:rsid w:val="003F5F7B"/>
    <w:rsid w:val="003F7C69"/>
    <w:rsid w:val="003F7D64"/>
    <w:rsid w:val="00400257"/>
    <w:rsid w:val="004004E6"/>
    <w:rsid w:val="00401801"/>
    <w:rsid w:val="00403706"/>
    <w:rsid w:val="004050EB"/>
    <w:rsid w:val="004057DB"/>
    <w:rsid w:val="00406B66"/>
    <w:rsid w:val="00407923"/>
    <w:rsid w:val="0041023D"/>
    <w:rsid w:val="00410CD2"/>
    <w:rsid w:val="00410FF4"/>
    <w:rsid w:val="00411246"/>
    <w:rsid w:val="00414300"/>
    <w:rsid w:val="0041466B"/>
    <w:rsid w:val="004179B9"/>
    <w:rsid w:val="00424829"/>
    <w:rsid w:val="00425C67"/>
    <w:rsid w:val="00426AFF"/>
    <w:rsid w:val="004271F3"/>
    <w:rsid w:val="00427E7A"/>
    <w:rsid w:val="0043098C"/>
    <w:rsid w:val="00430E4F"/>
    <w:rsid w:val="00431312"/>
    <w:rsid w:val="004316C9"/>
    <w:rsid w:val="00433F3E"/>
    <w:rsid w:val="00434286"/>
    <w:rsid w:val="00436C49"/>
    <w:rsid w:val="00441BF3"/>
    <w:rsid w:val="00443AEF"/>
    <w:rsid w:val="00445316"/>
    <w:rsid w:val="00445366"/>
    <w:rsid w:val="004461EC"/>
    <w:rsid w:val="00447691"/>
    <w:rsid w:val="00447F5B"/>
    <w:rsid w:val="00450AE2"/>
    <w:rsid w:val="0045280E"/>
    <w:rsid w:val="00453156"/>
    <w:rsid w:val="00460244"/>
    <w:rsid w:val="00461DB0"/>
    <w:rsid w:val="00462AB9"/>
    <w:rsid w:val="00463706"/>
    <w:rsid w:val="00463926"/>
    <w:rsid w:val="00464C9A"/>
    <w:rsid w:val="0046552A"/>
    <w:rsid w:val="00465ADE"/>
    <w:rsid w:val="00467BBB"/>
    <w:rsid w:val="00471C6B"/>
    <w:rsid w:val="0047227B"/>
    <w:rsid w:val="0047268F"/>
    <w:rsid w:val="0047346E"/>
    <w:rsid w:val="00474F3D"/>
    <w:rsid w:val="00475A16"/>
    <w:rsid w:val="00477632"/>
    <w:rsid w:val="00477E3A"/>
    <w:rsid w:val="004809B5"/>
    <w:rsid w:val="00481551"/>
    <w:rsid w:val="004827E3"/>
    <w:rsid w:val="00483D52"/>
    <w:rsid w:val="00483E5F"/>
    <w:rsid w:val="004844C5"/>
    <w:rsid w:val="00485FF9"/>
    <w:rsid w:val="004907F0"/>
    <w:rsid w:val="0049140B"/>
    <w:rsid w:val="004917F3"/>
    <w:rsid w:val="00491CEF"/>
    <w:rsid w:val="004923A5"/>
    <w:rsid w:val="00494056"/>
    <w:rsid w:val="00496BFB"/>
    <w:rsid w:val="0049780D"/>
    <w:rsid w:val="004A012A"/>
    <w:rsid w:val="004A046B"/>
    <w:rsid w:val="004A0F2F"/>
    <w:rsid w:val="004A15C7"/>
    <w:rsid w:val="004A1A49"/>
    <w:rsid w:val="004A1E93"/>
    <w:rsid w:val="004A409A"/>
    <w:rsid w:val="004A4F33"/>
    <w:rsid w:val="004A51F8"/>
    <w:rsid w:val="004A55B9"/>
    <w:rsid w:val="004A62DD"/>
    <w:rsid w:val="004B013B"/>
    <w:rsid w:val="004B112B"/>
    <w:rsid w:val="004B2645"/>
    <w:rsid w:val="004B26A6"/>
    <w:rsid w:val="004B280C"/>
    <w:rsid w:val="004B350B"/>
    <w:rsid w:val="004B5EC4"/>
    <w:rsid w:val="004B60A0"/>
    <w:rsid w:val="004C01E4"/>
    <w:rsid w:val="004C086C"/>
    <w:rsid w:val="004C0B3D"/>
    <w:rsid w:val="004C1F56"/>
    <w:rsid w:val="004C27BC"/>
    <w:rsid w:val="004C2E62"/>
    <w:rsid w:val="004C30A4"/>
    <w:rsid w:val="004C49C4"/>
    <w:rsid w:val="004D15F3"/>
    <w:rsid w:val="004D2B27"/>
    <w:rsid w:val="004D5311"/>
    <w:rsid w:val="004D5DCC"/>
    <w:rsid w:val="004D5E12"/>
    <w:rsid w:val="004D61B2"/>
    <w:rsid w:val="004D697D"/>
    <w:rsid w:val="004D6EA8"/>
    <w:rsid w:val="004E31EC"/>
    <w:rsid w:val="004E48CB"/>
    <w:rsid w:val="004E519B"/>
    <w:rsid w:val="004E5E13"/>
    <w:rsid w:val="004E64D7"/>
    <w:rsid w:val="004F10AF"/>
    <w:rsid w:val="004F11A4"/>
    <w:rsid w:val="004F2389"/>
    <w:rsid w:val="004F2979"/>
    <w:rsid w:val="004F304D"/>
    <w:rsid w:val="004F3D7D"/>
    <w:rsid w:val="004F511A"/>
    <w:rsid w:val="004F5FF7"/>
    <w:rsid w:val="004F61BE"/>
    <w:rsid w:val="004F66B1"/>
    <w:rsid w:val="0050334F"/>
    <w:rsid w:val="00505A08"/>
    <w:rsid w:val="00507C15"/>
    <w:rsid w:val="005111DE"/>
    <w:rsid w:val="00511350"/>
    <w:rsid w:val="00511C07"/>
    <w:rsid w:val="00512FD7"/>
    <w:rsid w:val="0051303B"/>
    <w:rsid w:val="00513CCF"/>
    <w:rsid w:val="00513DA7"/>
    <w:rsid w:val="005149C3"/>
    <w:rsid w:val="005150B2"/>
    <w:rsid w:val="00516DDD"/>
    <w:rsid w:val="005173A6"/>
    <w:rsid w:val="00520BAA"/>
    <w:rsid w:val="00523FD6"/>
    <w:rsid w:val="00524A5E"/>
    <w:rsid w:val="00525208"/>
    <w:rsid w:val="005254F7"/>
    <w:rsid w:val="005257A5"/>
    <w:rsid w:val="00525C0F"/>
    <w:rsid w:val="0052600B"/>
    <w:rsid w:val="005264C0"/>
    <w:rsid w:val="00526A8A"/>
    <w:rsid w:val="00526C07"/>
    <w:rsid w:val="00527F23"/>
    <w:rsid w:val="005306D1"/>
    <w:rsid w:val="00530CCB"/>
    <w:rsid w:val="00531DF2"/>
    <w:rsid w:val="005324BC"/>
    <w:rsid w:val="005329F9"/>
    <w:rsid w:val="005360E7"/>
    <w:rsid w:val="00536E8F"/>
    <w:rsid w:val="005372C7"/>
    <w:rsid w:val="0053752B"/>
    <w:rsid w:val="00541492"/>
    <w:rsid w:val="00542F21"/>
    <w:rsid w:val="00543EFD"/>
    <w:rsid w:val="005442EE"/>
    <w:rsid w:val="00544CDF"/>
    <w:rsid w:val="00544D29"/>
    <w:rsid w:val="00545664"/>
    <w:rsid w:val="00547353"/>
    <w:rsid w:val="005474E7"/>
    <w:rsid w:val="00547866"/>
    <w:rsid w:val="005512A3"/>
    <w:rsid w:val="0055141B"/>
    <w:rsid w:val="00551CD6"/>
    <w:rsid w:val="0055492C"/>
    <w:rsid w:val="005566D1"/>
    <w:rsid w:val="005578CE"/>
    <w:rsid w:val="00557D77"/>
    <w:rsid w:val="00561EA5"/>
    <w:rsid w:val="00562781"/>
    <w:rsid w:val="0056652A"/>
    <w:rsid w:val="00570887"/>
    <w:rsid w:val="00570DF8"/>
    <w:rsid w:val="00571519"/>
    <w:rsid w:val="0057271C"/>
    <w:rsid w:val="00572845"/>
    <w:rsid w:val="00573A77"/>
    <w:rsid w:val="005805F3"/>
    <w:rsid w:val="0058147F"/>
    <w:rsid w:val="00582503"/>
    <w:rsid w:val="00585E7F"/>
    <w:rsid w:val="005861BD"/>
    <w:rsid w:val="00587C2D"/>
    <w:rsid w:val="00592275"/>
    <w:rsid w:val="005923EA"/>
    <w:rsid w:val="00592772"/>
    <w:rsid w:val="00594374"/>
    <w:rsid w:val="0059574A"/>
    <w:rsid w:val="00595D2B"/>
    <w:rsid w:val="00596165"/>
    <w:rsid w:val="00596468"/>
    <w:rsid w:val="005A0443"/>
    <w:rsid w:val="005A1B9B"/>
    <w:rsid w:val="005A22BE"/>
    <w:rsid w:val="005A2C5C"/>
    <w:rsid w:val="005A3309"/>
    <w:rsid w:val="005A349D"/>
    <w:rsid w:val="005A3826"/>
    <w:rsid w:val="005A546A"/>
    <w:rsid w:val="005A6751"/>
    <w:rsid w:val="005A7825"/>
    <w:rsid w:val="005B092E"/>
    <w:rsid w:val="005B152C"/>
    <w:rsid w:val="005B17F6"/>
    <w:rsid w:val="005B1EE0"/>
    <w:rsid w:val="005B2B24"/>
    <w:rsid w:val="005B4425"/>
    <w:rsid w:val="005B4B94"/>
    <w:rsid w:val="005B5891"/>
    <w:rsid w:val="005B59A5"/>
    <w:rsid w:val="005C17F6"/>
    <w:rsid w:val="005C1DE4"/>
    <w:rsid w:val="005C2912"/>
    <w:rsid w:val="005C322C"/>
    <w:rsid w:val="005C337F"/>
    <w:rsid w:val="005C3CE1"/>
    <w:rsid w:val="005C3EE8"/>
    <w:rsid w:val="005C6BF4"/>
    <w:rsid w:val="005C7468"/>
    <w:rsid w:val="005C7ECA"/>
    <w:rsid w:val="005D22F4"/>
    <w:rsid w:val="005D298E"/>
    <w:rsid w:val="005D3212"/>
    <w:rsid w:val="005D34F9"/>
    <w:rsid w:val="005D4190"/>
    <w:rsid w:val="005D48D7"/>
    <w:rsid w:val="005D575F"/>
    <w:rsid w:val="005D67A3"/>
    <w:rsid w:val="005E0E94"/>
    <w:rsid w:val="005E1D25"/>
    <w:rsid w:val="005E24CD"/>
    <w:rsid w:val="005E2988"/>
    <w:rsid w:val="005E301A"/>
    <w:rsid w:val="005E3085"/>
    <w:rsid w:val="005E4EA2"/>
    <w:rsid w:val="005E5067"/>
    <w:rsid w:val="005F20ED"/>
    <w:rsid w:val="005F2E6A"/>
    <w:rsid w:val="005F4FDB"/>
    <w:rsid w:val="005F51E1"/>
    <w:rsid w:val="005F5A71"/>
    <w:rsid w:val="005F65EF"/>
    <w:rsid w:val="006008D5"/>
    <w:rsid w:val="00600F25"/>
    <w:rsid w:val="00602CB8"/>
    <w:rsid w:val="00603708"/>
    <w:rsid w:val="0060410B"/>
    <w:rsid w:val="00604141"/>
    <w:rsid w:val="00606609"/>
    <w:rsid w:val="006066A4"/>
    <w:rsid w:val="00610C76"/>
    <w:rsid w:val="00611C80"/>
    <w:rsid w:val="0061211C"/>
    <w:rsid w:val="00614232"/>
    <w:rsid w:val="00614529"/>
    <w:rsid w:val="0061520A"/>
    <w:rsid w:val="00616F60"/>
    <w:rsid w:val="00617761"/>
    <w:rsid w:val="0062046A"/>
    <w:rsid w:val="00620692"/>
    <w:rsid w:val="006242CA"/>
    <w:rsid w:val="00625DBC"/>
    <w:rsid w:val="0062658B"/>
    <w:rsid w:val="0062661A"/>
    <w:rsid w:val="0062748C"/>
    <w:rsid w:val="00627507"/>
    <w:rsid w:val="00627FE4"/>
    <w:rsid w:val="00630153"/>
    <w:rsid w:val="0063278B"/>
    <w:rsid w:val="006329B1"/>
    <w:rsid w:val="00633717"/>
    <w:rsid w:val="006344E1"/>
    <w:rsid w:val="00635BC0"/>
    <w:rsid w:val="0064029F"/>
    <w:rsid w:val="006417FA"/>
    <w:rsid w:val="006420EC"/>
    <w:rsid w:val="0064289D"/>
    <w:rsid w:val="0064461B"/>
    <w:rsid w:val="006454A3"/>
    <w:rsid w:val="00646FAF"/>
    <w:rsid w:val="0065009A"/>
    <w:rsid w:val="00650C81"/>
    <w:rsid w:val="00650F9B"/>
    <w:rsid w:val="00652518"/>
    <w:rsid w:val="006545C4"/>
    <w:rsid w:val="0066065C"/>
    <w:rsid w:val="006606A7"/>
    <w:rsid w:val="006607DF"/>
    <w:rsid w:val="00661971"/>
    <w:rsid w:val="00661A98"/>
    <w:rsid w:val="00661CE8"/>
    <w:rsid w:val="006623D9"/>
    <w:rsid w:val="00662473"/>
    <w:rsid w:val="0066431B"/>
    <w:rsid w:val="0066550C"/>
    <w:rsid w:val="00665CB5"/>
    <w:rsid w:val="006672D8"/>
    <w:rsid w:val="00667A1B"/>
    <w:rsid w:val="00667B26"/>
    <w:rsid w:val="00670B39"/>
    <w:rsid w:val="00670E20"/>
    <w:rsid w:val="00671006"/>
    <w:rsid w:val="006713B4"/>
    <w:rsid w:val="006716F2"/>
    <w:rsid w:val="00671961"/>
    <w:rsid w:val="006730ED"/>
    <w:rsid w:val="00674842"/>
    <w:rsid w:val="00675921"/>
    <w:rsid w:val="00676AFE"/>
    <w:rsid w:val="0068067A"/>
    <w:rsid w:val="00681415"/>
    <w:rsid w:val="006818DF"/>
    <w:rsid w:val="0068235D"/>
    <w:rsid w:val="00682BF2"/>
    <w:rsid w:val="00683BA9"/>
    <w:rsid w:val="00684ED1"/>
    <w:rsid w:val="006859CE"/>
    <w:rsid w:val="00687CF3"/>
    <w:rsid w:val="00690CDC"/>
    <w:rsid w:val="00691270"/>
    <w:rsid w:val="00691803"/>
    <w:rsid w:val="00694BA8"/>
    <w:rsid w:val="006954EA"/>
    <w:rsid w:val="00697802"/>
    <w:rsid w:val="006A01FE"/>
    <w:rsid w:val="006A037C"/>
    <w:rsid w:val="006A0E0D"/>
    <w:rsid w:val="006A1504"/>
    <w:rsid w:val="006A1568"/>
    <w:rsid w:val="006A35A8"/>
    <w:rsid w:val="006A36F4"/>
    <w:rsid w:val="006A406F"/>
    <w:rsid w:val="006A5D3A"/>
    <w:rsid w:val="006B0947"/>
    <w:rsid w:val="006B0F31"/>
    <w:rsid w:val="006B1BBA"/>
    <w:rsid w:val="006B2673"/>
    <w:rsid w:val="006B38ED"/>
    <w:rsid w:val="006B68DF"/>
    <w:rsid w:val="006C0C3E"/>
    <w:rsid w:val="006C23D4"/>
    <w:rsid w:val="006C2C92"/>
    <w:rsid w:val="006C4EA4"/>
    <w:rsid w:val="006C50EA"/>
    <w:rsid w:val="006C7BB0"/>
    <w:rsid w:val="006D0A9B"/>
    <w:rsid w:val="006D0D1E"/>
    <w:rsid w:val="006D10EC"/>
    <w:rsid w:val="006D1B79"/>
    <w:rsid w:val="006D1CC6"/>
    <w:rsid w:val="006D3237"/>
    <w:rsid w:val="006D5479"/>
    <w:rsid w:val="006D5887"/>
    <w:rsid w:val="006D6556"/>
    <w:rsid w:val="006D69C0"/>
    <w:rsid w:val="006E02EE"/>
    <w:rsid w:val="006E0B1E"/>
    <w:rsid w:val="006E2E37"/>
    <w:rsid w:val="006E3178"/>
    <w:rsid w:val="006E32AD"/>
    <w:rsid w:val="006E3CF1"/>
    <w:rsid w:val="006E44CB"/>
    <w:rsid w:val="006E6543"/>
    <w:rsid w:val="006E7E80"/>
    <w:rsid w:val="006F2A74"/>
    <w:rsid w:val="006F3E6C"/>
    <w:rsid w:val="006F48CA"/>
    <w:rsid w:val="006F4D08"/>
    <w:rsid w:val="006F6121"/>
    <w:rsid w:val="006F64DD"/>
    <w:rsid w:val="006F6EAE"/>
    <w:rsid w:val="0070376C"/>
    <w:rsid w:val="00706F11"/>
    <w:rsid w:val="00711A4F"/>
    <w:rsid w:val="00712A7A"/>
    <w:rsid w:val="00712E2E"/>
    <w:rsid w:val="00715127"/>
    <w:rsid w:val="00715C2B"/>
    <w:rsid w:val="00715E8E"/>
    <w:rsid w:val="007173D9"/>
    <w:rsid w:val="00717B7A"/>
    <w:rsid w:val="007213BD"/>
    <w:rsid w:val="00723580"/>
    <w:rsid w:val="00723755"/>
    <w:rsid w:val="0072662A"/>
    <w:rsid w:val="00727935"/>
    <w:rsid w:val="00730D47"/>
    <w:rsid w:val="0073136C"/>
    <w:rsid w:val="007318A0"/>
    <w:rsid w:val="0073190B"/>
    <w:rsid w:val="00731F0F"/>
    <w:rsid w:val="00733250"/>
    <w:rsid w:val="0073386F"/>
    <w:rsid w:val="00737266"/>
    <w:rsid w:val="007379E3"/>
    <w:rsid w:val="00740460"/>
    <w:rsid w:val="00740DEB"/>
    <w:rsid w:val="00741404"/>
    <w:rsid w:val="007424CD"/>
    <w:rsid w:val="007432A5"/>
    <w:rsid w:val="007449E5"/>
    <w:rsid w:val="0074626B"/>
    <w:rsid w:val="0074768B"/>
    <w:rsid w:val="00747C68"/>
    <w:rsid w:val="00747FF0"/>
    <w:rsid w:val="0075058E"/>
    <w:rsid w:val="00751D53"/>
    <w:rsid w:val="00753659"/>
    <w:rsid w:val="00754862"/>
    <w:rsid w:val="00755AD9"/>
    <w:rsid w:val="0076045E"/>
    <w:rsid w:val="0076150B"/>
    <w:rsid w:val="007619D2"/>
    <w:rsid w:val="00762B68"/>
    <w:rsid w:val="00764D4E"/>
    <w:rsid w:val="007652FA"/>
    <w:rsid w:val="0076553A"/>
    <w:rsid w:val="00765917"/>
    <w:rsid w:val="00765A1F"/>
    <w:rsid w:val="00766442"/>
    <w:rsid w:val="00770833"/>
    <w:rsid w:val="00772C9C"/>
    <w:rsid w:val="00772D16"/>
    <w:rsid w:val="0077380D"/>
    <w:rsid w:val="00775B6D"/>
    <w:rsid w:val="007768B7"/>
    <w:rsid w:val="00776D68"/>
    <w:rsid w:val="007772B7"/>
    <w:rsid w:val="007824EB"/>
    <w:rsid w:val="007825F1"/>
    <w:rsid w:val="007833B3"/>
    <w:rsid w:val="00783616"/>
    <w:rsid w:val="007847E8"/>
    <w:rsid w:val="00784CA6"/>
    <w:rsid w:val="007850EE"/>
    <w:rsid w:val="00785B95"/>
    <w:rsid w:val="00785D80"/>
    <w:rsid w:val="00786CD7"/>
    <w:rsid w:val="0078707B"/>
    <w:rsid w:val="007874F5"/>
    <w:rsid w:val="00790217"/>
    <w:rsid w:val="0079026A"/>
    <w:rsid w:val="007908CC"/>
    <w:rsid w:val="00790E96"/>
    <w:rsid w:val="00792195"/>
    <w:rsid w:val="00792B80"/>
    <w:rsid w:val="00793366"/>
    <w:rsid w:val="00793A39"/>
    <w:rsid w:val="00794D2C"/>
    <w:rsid w:val="007952DA"/>
    <w:rsid w:val="007966DC"/>
    <w:rsid w:val="00796966"/>
    <w:rsid w:val="00797700"/>
    <w:rsid w:val="007A0724"/>
    <w:rsid w:val="007A0C52"/>
    <w:rsid w:val="007A1DF8"/>
    <w:rsid w:val="007A31B8"/>
    <w:rsid w:val="007A4D72"/>
    <w:rsid w:val="007A6C70"/>
    <w:rsid w:val="007A716F"/>
    <w:rsid w:val="007B0B9B"/>
    <w:rsid w:val="007B270A"/>
    <w:rsid w:val="007B4807"/>
    <w:rsid w:val="007B4B56"/>
    <w:rsid w:val="007B6490"/>
    <w:rsid w:val="007B7FB4"/>
    <w:rsid w:val="007C0695"/>
    <w:rsid w:val="007C0C92"/>
    <w:rsid w:val="007C2D8F"/>
    <w:rsid w:val="007C3027"/>
    <w:rsid w:val="007C3564"/>
    <w:rsid w:val="007C3DAD"/>
    <w:rsid w:val="007C40B1"/>
    <w:rsid w:val="007C419A"/>
    <w:rsid w:val="007C4CC8"/>
    <w:rsid w:val="007C4D6C"/>
    <w:rsid w:val="007C5426"/>
    <w:rsid w:val="007C5798"/>
    <w:rsid w:val="007C5B44"/>
    <w:rsid w:val="007C651D"/>
    <w:rsid w:val="007C679F"/>
    <w:rsid w:val="007C6A36"/>
    <w:rsid w:val="007C6F5C"/>
    <w:rsid w:val="007C7CDD"/>
    <w:rsid w:val="007D112A"/>
    <w:rsid w:val="007D1919"/>
    <w:rsid w:val="007D1924"/>
    <w:rsid w:val="007D3855"/>
    <w:rsid w:val="007D4832"/>
    <w:rsid w:val="007D4DC9"/>
    <w:rsid w:val="007D5BD9"/>
    <w:rsid w:val="007D605D"/>
    <w:rsid w:val="007D6317"/>
    <w:rsid w:val="007D6676"/>
    <w:rsid w:val="007E21B2"/>
    <w:rsid w:val="007E2BB7"/>
    <w:rsid w:val="007E2C4E"/>
    <w:rsid w:val="007E373C"/>
    <w:rsid w:val="007E7F9B"/>
    <w:rsid w:val="007F0DE0"/>
    <w:rsid w:val="007F1905"/>
    <w:rsid w:val="007F3AC0"/>
    <w:rsid w:val="007F3F54"/>
    <w:rsid w:val="007F55D8"/>
    <w:rsid w:val="007F58E3"/>
    <w:rsid w:val="007F5F3A"/>
    <w:rsid w:val="007F6462"/>
    <w:rsid w:val="00801300"/>
    <w:rsid w:val="00802AC1"/>
    <w:rsid w:val="00802C64"/>
    <w:rsid w:val="00804575"/>
    <w:rsid w:val="00805875"/>
    <w:rsid w:val="00805E52"/>
    <w:rsid w:val="00806145"/>
    <w:rsid w:val="008061D0"/>
    <w:rsid w:val="00807C57"/>
    <w:rsid w:val="008109A5"/>
    <w:rsid w:val="00810B38"/>
    <w:rsid w:val="008121B4"/>
    <w:rsid w:val="00812D7F"/>
    <w:rsid w:val="00812DD1"/>
    <w:rsid w:val="008204C7"/>
    <w:rsid w:val="00820992"/>
    <w:rsid w:val="008214DC"/>
    <w:rsid w:val="008226E1"/>
    <w:rsid w:val="00823602"/>
    <w:rsid w:val="00823BAF"/>
    <w:rsid w:val="00824144"/>
    <w:rsid w:val="00824605"/>
    <w:rsid w:val="008255F5"/>
    <w:rsid w:val="00825C5B"/>
    <w:rsid w:val="00826B31"/>
    <w:rsid w:val="00827FA8"/>
    <w:rsid w:val="0083014E"/>
    <w:rsid w:val="008302DC"/>
    <w:rsid w:val="0083214A"/>
    <w:rsid w:val="008324BC"/>
    <w:rsid w:val="00834220"/>
    <w:rsid w:val="00837E1C"/>
    <w:rsid w:val="00841760"/>
    <w:rsid w:val="00842905"/>
    <w:rsid w:val="0084320D"/>
    <w:rsid w:val="0084351A"/>
    <w:rsid w:val="00845047"/>
    <w:rsid w:val="00845723"/>
    <w:rsid w:val="00850134"/>
    <w:rsid w:val="00850ABF"/>
    <w:rsid w:val="00851EF9"/>
    <w:rsid w:val="00852351"/>
    <w:rsid w:val="00852B7B"/>
    <w:rsid w:val="008577FD"/>
    <w:rsid w:val="00860752"/>
    <w:rsid w:val="00860B03"/>
    <w:rsid w:val="00861168"/>
    <w:rsid w:val="008616A5"/>
    <w:rsid w:val="00861EAD"/>
    <w:rsid w:val="00864774"/>
    <w:rsid w:val="0086497A"/>
    <w:rsid w:val="008703C2"/>
    <w:rsid w:val="008713A1"/>
    <w:rsid w:val="008729C6"/>
    <w:rsid w:val="00873562"/>
    <w:rsid w:val="00873935"/>
    <w:rsid w:val="008754AB"/>
    <w:rsid w:val="00876FF5"/>
    <w:rsid w:val="00877FCE"/>
    <w:rsid w:val="0088060C"/>
    <w:rsid w:val="0088089A"/>
    <w:rsid w:val="00883A82"/>
    <w:rsid w:val="00885D63"/>
    <w:rsid w:val="008863C4"/>
    <w:rsid w:val="0088777F"/>
    <w:rsid w:val="00887895"/>
    <w:rsid w:val="00887C51"/>
    <w:rsid w:val="008904F2"/>
    <w:rsid w:val="00890A48"/>
    <w:rsid w:val="00891262"/>
    <w:rsid w:val="00892A0E"/>
    <w:rsid w:val="00892AA2"/>
    <w:rsid w:val="00893576"/>
    <w:rsid w:val="00893E73"/>
    <w:rsid w:val="00894AA2"/>
    <w:rsid w:val="00894EFC"/>
    <w:rsid w:val="00895FC8"/>
    <w:rsid w:val="00896D6F"/>
    <w:rsid w:val="00897330"/>
    <w:rsid w:val="008A0E8B"/>
    <w:rsid w:val="008A2FE5"/>
    <w:rsid w:val="008A3299"/>
    <w:rsid w:val="008A3307"/>
    <w:rsid w:val="008A4082"/>
    <w:rsid w:val="008A5BBA"/>
    <w:rsid w:val="008A634B"/>
    <w:rsid w:val="008A742D"/>
    <w:rsid w:val="008B02DC"/>
    <w:rsid w:val="008B20DD"/>
    <w:rsid w:val="008B214B"/>
    <w:rsid w:val="008B2F51"/>
    <w:rsid w:val="008B4274"/>
    <w:rsid w:val="008B4D6D"/>
    <w:rsid w:val="008B50DF"/>
    <w:rsid w:val="008B5640"/>
    <w:rsid w:val="008B57CE"/>
    <w:rsid w:val="008B5BC5"/>
    <w:rsid w:val="008B6BC3"/>
    <w:rsid w:val="008C103E"/>
    <w:rsid w:val="008C1632"/>
    <w:rsid w:val="008C26DE"/>
    <w:rsid w:val="008C2B01"/>
    <w:rsid w:val="008C2E39"/>
    <w:rsid w:val="008C2F2E"/>
    <w:rsid w:val="008C4C6D"/>
    <w:rsid w:val="008C7851"/>
    <w:rsid w:val="008C7B0A"/>
    <w:rsid w:val="008D1791"/>
    <w:rsid w:val="008D21CA"/>
    <w:rsid w:val="008D2225"/>
    <w:rsid w:val="008D3288"/>
    <w:rsid w:val="008D4752"/>
    <w:rsid w:val="008D6502"/>
    <w:rsid w:val="008D7804"/>
    <w:rsid w:val="008D7840"/>
    <w:rsid w:val="008E00A0"/>
    <w:rsid w:val="008E271C"/>
    <w:rsid w:val="008E418E"/>
    <w:rsid w:val="008E45BC"/>
    <w:rsid w:val="008E5BC6"/>
    <w:rsid w:val="008E6A25"/>
    <w:rsid w:val="008F15A1"/>
    <w:rsid w:val="008F1FEB"/>
    <w:rsid w:val="008F2122"/>
    <w:rsid w:val="008F3C42"/>
    <w:rsid w:val="008F512D"/>
    <w:rsid w:val="008F5193"/>
    <w:rsid w:val="008F5E0B"/>
    <w:rsid w:val="008F5F57"/>
    <w:rsid w:val="008F7D62"/>
    <w:rsid w:val="009003C5"/>
    <w:rsid w:val="009013A7"/>
    <w:rsid w:val="00901472"/>
    <w:rsid w:val="009017FB"/>
    <w:rsid w:val="009017FC"/>
    <w:rsid w:val="00903E0E"/>
    <w:rsid w:val="00904D38"/>
    <w:rsid w:val="0090506B"/>
    <w:rsid w:val="009050C9"/>
    <w:rsid w:val="009066FC"/>
    <w:rsid w:val="00906FB1"/>
    <w:rsid w:val="00911899"/>
    <w:rsid w:val="0091195A"/>
    <w:rsid w:val="009140A3"/>
    <w:rsid w:val="009140E6"/>
    <w:rsid w:val="009144A2"/>
    <w:rsid w:val="0091510C"/>
    <w:rsid w:val="0092122C"/>
    <w:rsid w:val="00921902"/>
    <w:rsid w:val="00922063"/>
    <w:rsid w:val="00922553"/>
    <w:rsid w:val="00923A83"/>
    <w:rsid w:val="00923B1B"/>
    <w:rsid w:val="009259AC"/>
    <w:rsid w:val="00926F38"/>
    <w:rsid w:val="009275F3"/>
    <w:rsid w:val="00930260"/>
    <w:rsid w:val="009309EE"/>
    <w:rsid w:val="009313E0"/>
    <w:rsid w:val="00934301"/>
    <w:rsid w:val="00935DDE"/>
    <w:rsid w:val="00936C2D"/>
    <w:rsid w:val="00936CD1"/>
    <w:rsid w:val="00936E6F"/>
    <w:rsid w:val="00937F5D"/>
    <w:rsid w:val="009408AC"/>
    <w:rsid w:val="00940E04"/>
    <w:rsid w:val="009416C2"/>
    <w:rsid w:val="00941747"/>
    <w:rsid w:val="00941EFB"/>
    <w:rsid w:val="0094206D"/>
    <w:rsid w:val="0094278A"/>
    <w:rsid w:val="00942BBE"/>
    <w:rsid w:val="00943356"/>
    <w:rsid w:val="00944AD1"/>
    <w:rsid w:val="00944BE0"/>
    <w:rsid w:val="00947027"/>
    <w:rsid w:val="00947AFB"/>
    <w:rsid w:val="00950EC3"/>
    <w:rsid w:val="00951D7D"/>
    <w:rsid w:val="00951EBA"/>
    <w:rsid w:val="00953804"/>
    <w:rsid w:val="00954950"/>
    <w:rsid w:val="009608D8"/>
    <w:rsid w:val="00963098"/>
    <w:rsid w:val="009630C7"/>
    <w:rsid w:val="0096389B"/>
    <w:rsid w:val="00963A32"/>
    <w:rsid w:val="00963DEB"/>
    <w:rsid w:val="00964C97"/>
    <w:rsid w:val="009673F7"/>
    <w:rsid w:val="009676A0"/>
    <w:rsid w:val="0097094C"/>
    <w:rsid w:val="009711C6"/>
    <w:rsid w:val="00972B55"/>
    <w:rsid w:val="00972BE9"/>
    <w:rsid w:val="009736CB"/>
    <w:rsid w:val="0097398B"/>
    <w:rsid w:val="009743B7"/>
    <w:rsid w:val="009747C9"/>
    <w:rsid w:val="009748E6"/>
    <w:rsid w:val="0098228B"/>
    <w:rsid w:val="009828DA"/>
    <w:rsid w:val="00982902"/>
    <w:rsid w:val="00983A93"/>
    <w:rsid w:val="0098450C"/>
    <w:rsid w:val="0098505B"/>
    <w:rsid w:val="009856F5"/>
    <w:rsid w:val="00985BAB"/>
    <w:rsid w:val="00986E18"/>
    <w:rsid w:val="00986E37"/>
    <w:rsid w:val="009874C4"/>
    <w:rsid w:val="009907A7"/>
    <w:rsid w:val="0099363F"/>
    <w:rsid w:val="0099421C"/>
    <w:rsid w:val="009963FF"/>
    <w:rsid w:val="009968C5"/>
    <w:rsid w:val="00997174"/>
    <w:rsid w:val="0099734C"/>
    <w:rsid w:val="009973B8"/>
    <w:rsid w:val="009A0B7A"/>
    <w:rsid w:val="009A1D1A"/>
    <w:rsid w:val="009A53CC"/>
    <w:rsid w:val="009A75A3"/>
    <w:rsid w:val="009A7B53"/>
    <w:rsid w:val="009B1B5F"/>
    <w:rsid w:val="009B45B0"/>
    <w:rsid w:val="009B6673"/>
    <w:rsid w:val="009B7B06"/>
    <w:rsid w:val="009C0186"/>
    <w:rsid w:val="009C0412"/>
    <w:rsid w:val="009C06F2"/>
    <w:rsid w:val="009C0D4F"/>
    <w:rsid w:val="009C191B"/>
    <w:rsid w:val="009C2BD6"/>
    <w:rsid w:val="009C6881"/>
    <w:rsid w:val="009D0C95"/>
    <w:rsid w:val="009D2B3D"/>
    <w:rsid w:val="009D5AE5"/>
    <w:rsid w:val="009D5DA2"/>
    <w:rsid w:val="009D6042"/>
    <w:rsid w:val="009D6EA9"/>
    <w:rsid w:val="009D7A33"/>
    <w:rsid w:val="009E1232"/>
    <w:rsid w:val="009E1F32"/>
    <w:rsid w:val="009E2141"/>
    <w:rsid w:val="009E322A"/>
    <w:rsid w:val="009E6C14"/>
    <w:rsid w:val="009E776C"/>
    <w:rsid w:val="009F1FC5"/>
    <w:rsid w:val="009F28F9"/>
    <w:rsid w:val="009F303A"/>
    <w:rsid w:val="009F365A"/>
    <w:rsid w:val="009F7CB6"/>
    <w:rsid w:val="00A01EC9"/>
    <w:rsid w:val="00A04B80"/>
    <w:rsid w:val="00A04F53"/>
    <w:rsid w:val="00A05675"/>
    <w:rsid w:val="00A058F2"/>
    <w:rsid w:val="00A0724C"/>
    <w:rsid w:val="00A11F65"/>
    <w:rsid w:val="00A15A49"/>
    <w:rsid w:val="00A16CA6"/>
    <w:rsid w:val="00A1726E"/>
    <w:rsid w:val="00A17461"/>
    <w:rsid w:val="00A20038"/>
    <w:rsid w:val="00A204CF"/>
    <w:rsid w:val="00A224B3"/>
    <w:rsid w:val="00A23D49"/>
    <w:rsid w:val="00A249A0"/>
    <w:rsid w:val="00A261A2"/>
    <w:rsid w:val="00A27004"/>
    <w:rsid w:val="00A27F18"/>
    <w:rsid w:val="00A30C29"/>
    <w:rsid w:val="00A31FD8"/>
    <w:rsid w:val="00A34DD6"/>
    <w:rsid w:val="00A36819"/>
    <w:rsid w:val="00A36989"/>
    <w:rsid w:val="00A37B0F"/>
    <w:rsid w:val="00A37ED0"/>
    <w:rsid w:val="00A4080A"/>
    <w:rsid w:val="00A4200E"/>
    <w:rsid w:val="00A426B6"/>
    <w:rsid w:val="00A43628"/>
    <w:rsid w:val="00A45083"/>
    <w:rsid w:val="00A51241"/>
    <w:rsid w:val="00A52610"/>
    <w:rsid w:val="00A54192"/>
    <w:rsid w:val="00A56950"/>
    <w:rsid w:val="00A6035E"/>
    <w:rsid w:val="00A6144C"/>
    <w:rsid w:val="00A61638"/>
    <w:rsid w:val="00A62736"/>
    <w:rsid w:val="00A63080"/>
    <w:rsid w:val="00A646D3"/>
    <w:rsid w:val="00A66617"/>
    <w:rsid w:val="00A66FAA"/>
    <w:rsid w:val="00A671F8"/>
    <w:rsid w:val="00A673A4"/>
    <w:rsid w:val="00A702E8"/>
    <w:rsid w:val="00A724AE"/>
    <w:rsid w:val="00A731E0"/>
    <w:rsid w:val="00A73329"/>
    <w:rsid w:val="00A747D4"/>
    <w:rsid w:val="00A76DCF"/>
    <w:rsid w:val="00A81E82"/>
    <w:rsid w:val="00A82359"/>
    <w:rsid w:val="00A836F8"/>
    <w:rsid w:val="00A865D2"/>
    <w:rsid w:val="00A90C83"/>
    <w:rsid w:val="00A92F62"/>
    <w:rsid w:val="00A94C20"/>
    <w:rsid w:val="00A95CE3"/>
    <w:rsid w:val="00A96B7F"/>
    <w:rsid w:val="00A97567"/>
    <w:rsid w:val="00AA0A36"/>
    <w:rsid w:val="00AA1E26"/>
    <w:rsid w:val="00AA227F"/>
    <w:rsid w:val="00AA30EB"/>
    <w:rsid w:val="00AA35F9"/>
    <w:rsid w:val="00AA36EB"/>
    <w:rsid w:val="00AA3BA8"/>
    <w:rsid w:val="00AA3BC7"/>
    <w:rsid w:val="00AA754A"/>
    <w:rsid w:val="00AB0021"/>
    <w:rsid w:val="00AB099E"/>
    <w:rsid w:val="00AB1F3A"/>
    <w:rsid w:val="00AB20F9"/>
    <w:rsid w:val="00AB4328"/>
    <w:rsid w:val="00AB5282"/>
    <w:rsid w:val="00AB5743"/>
    <w:rsid w:val="00AC0DAF"/>
    <w:rsid w:val="00AC503F"/>
    <w:rsid w:val="00AC6F88"/>
    <w:rsid w:val="00AD2061"/>
    <w:rsid w:val="00AD3C6D"/>
    <w:rsid w:val="00AD618B"/>
    <w:rsid w:val="00AD64AB"/>
    <w:rsid w:val="00AE0324"/>
    <w:rsid w:val="00AE0A2E"/>
    <w:rsid w:val="00AE0B20"/>
    <w:rsid w:val="00AE354C"/>
    <w:rsid w:val="00AE3736"/>
    <w:rsid w:val="00AE3A52"/>
    <w:rsid w:val="00AE3B29"/>
    <w:rsid w:val="00AE50FE"/>
    <w:rsid w:val="00AE7C86"/>
    <w:rsid w:val="00AF1B6A"/>
    <w:rsid w:val="00AF488F"/>
    <w:rsid w:val="00AF4B07"/>
    <w:rsid w:val="00AF6186"/>
    <w:rsid w:val="00AF6882"/>
    <w:rsid w:val="00AF6FD3"/>
    <w:rsid w:val="00AF7A3A"/>
    <w:rsid w:val="00B02579"/>
    <w:rsid w:val="00B04605"/>
    <w:rsid w:val="00B04F75"/>
    <w:rsid w:val="00B104E5"/>
    <w:rsid w:val="00B12FBE"/>
    <w:rsid w:val="00B131FD"/>
    <w:rsid w:val="00B13255"/>
    <w:rsid w:val="00B13A45"/>
    <w:rsid w:val="00B160DB"/>
    <w:rsid w:val="00B162EC"/>
    <w:rsid w:val="00B16978"/>
    <w:rsid w:val="00B20836"/>
    <w:rsid w:val="00B2185C"/>
    <w:rsid w:val="00B21BE2"/>
    <w:rsid w:val="00B22126"/>
    <w:rsid w:val="00B235BB"/>
    <w:rsid w:val="00B23D28"/>
    <w:rsid w:val="00B27A44"/>
    <w:rsid w:val="00B30BBF"/>
    <w:rsid w:val="00B32005"/>
    <w:rsid w:val="00B322BF"/>
    <w:rsid w:val="00B33698"/>
    <w:rsid w:val="00B33C03"/>
    <w:rsid w:val="00B34AF4"/>
    <w:rsid w:val="00B378F9"/>
    <w:rsid w:val="00B41F93"/>
    <w:rsid w:val="00B44E56"/>
    <w:rsid w:val="00B44EFD"/>
    <w:rsid w:val="00B45140"/>
    <w:rsid w:val="00B459CD"/>
    <w:rsid w:val="00B46543"/>
    <w:rsid w:val="00B47740"/>
    <w:rsid w:val="00B47D33"/>
    <w:rsid w:val="00B503F2"/>
    <w:rsid w:val="00B51AF8"/>
    <w:rsid w:val="00B52BE0"/>
    <w:rsid w:val="00B52DF0"/>
    <w:rsid w:val="00B53106"/>
    <w:rsid w:val="00B54133"/>
    <w:rsid w:val="00B55702"/>
    <w:rsid w:val="00B574C2"/>
    <w:rsid w:val="00B600EE"/>
    <w:rsid w:val="00B61819"/>
    <w:rsid w:val="00B61FA3"/>
    <w:rsid w:val="00B641AF"/>
    <w:rsid w:val="00B64849"/>
    <w:rsid w:val="00B66194"/>
    <w:rsid w:val="00B66E64"/>
    <w:rsid w:val="00B671A9"/>
    <w:rsid w:val="00B701ED"/>
    <w:rsid w:val="00B8086C"/>
    <w:rsid w:val="00B8300A"/>
    <w:rsid w:val="00B8444A"/>
    <w:rsid w:val="00B84FDC"/>
    <w:rsid w:val="00B861B4"/>
    <w:rsid w:val="00B86AEF"/>
    <w:rsid w:val="00B86DFE"/>
    <w:rsid w:val="00B87425"/>
    <w:rsid w:val="00B90990"/>
    <w:rsid w:val="00B919FF"/>
    <w:rsid w:val="00B922FF"/>
    <w:rsid w:val="00B9281E"/>
    <w:rsid w:val="00B938A2"/>
    <w:rsid w:val="00B93925"/>
    <w:rsid w:val="00B95187"/>
    <w:rsid w:val="00B9702B"/>
    <w:rsid w:val="00B9776F"/>
    <w:rsid w:val="00BA0FB9"/>
    <w:rsid w:val="00BA2D55"/>
    <w:rsid w:val="00BA348D"/>
    <w:rsid w:val="00BA71B1"/>
    <w:rsid w:val="00BB0637"/>
    <w:rsid w:val="00BB2DEF"/>
    <w:rsid w:val="00BB2E44"/>
    <w:rsid w:val="00BB345F"/>
    <w:rsid w:val="00BB68EA"/>
    <w:rsid w:val="00BB7C55"/>
    <w:rsid w:val="00BC185E"/>
    <w:rsid w:val="00BC1C27"/>
    <w:rsid w:val="00BC4980"/>
    <w:rsid w:val="00BC4A8F"/>
    <w:rsid w:val="00BC5B46"/>
    <w:rsid w:val="00BC5C2D"/>
    <w:rsid w:val="00BC5E61"/>
    <w:rsid w:val="00BC6BBF"/>
    <w:rsid w:val="00BD0843"/>
    <w:rsid w:val="00BD1572"/>
    <w:rsid w:val="00BD25CE"/>
    <w:rsid w:val="00BD2C5D"/>
    <w:rsid w:val="00BD3995"/>
    <w:rsid w:val="00BD3E3E"/>
    <w:rsid w:val="00BD4B6A"/>
    <w:rsid w:val="00BD567F"/>
    <w:rsid w:val="00BD57E1"/>
    <w:rsid w:val="00BD6D6B"/>
    <w:rsid w:val="00BE14E3"/>
    <w:rsid w:val="00BE27A8"/>
    <w:rsid w:val="00BE2F93"/>
    <w:rsid w:val="00BE3774"/>
    <w:rsid w:val="00BE41E5"/>
    <w:rsid w:val="00BE4B58"/>
    <w:rsid w:val="00BF0539"/>
    <w:rsid w:val="00BF14F6"/>
    <w:rsid w:val="00BF1BD7"/>
    <w:rsid w:val="00BF1DE8"/>
    <w:rsid w:val="00BF1F29"/>
    <w:rsid w:val="00BF26F0"/>
    <w:rsid w:val="00BF36E1"/>
    <w:rsid w:val="00BF3EFF"/>
    <w:rsid w:val="00BF4109"/>
    <w:rsid w:val="00BF4CC3"/>
    <w:rsid w:val="00BF737A"/>
    <w:rsid w:val="00C02717"/>
    <w:rsid w:val="00C03022"/>
    <w:rsid w:val="00C054C7"/>
    <w:rsid w:val="00C057B5"/>
    <w:rsid w:val="00C06E15"/>
    <w:rsid w:val="00C10573"/>
    <w:rsid w:val="00C1262B"/>
    <w:rsid w:val="00C139EB"/>
    <w:rsid w:val="00C142F5"/>
    <w:rsid w:val="00C14807"/>
    <w:rsid w:val="00C1518A"/>
    <w:rsid w:val="00C15446"/>
    <w:rsid w:val="00C158FB"/>
    <w:rsid w:val="00C16ADE"/>
    <w:rsid w:val="00C22687"/>
    <w:rsid w:val="00C242DB"/>
    <w:rsid w:val="00C245CD"/>
    <w:rsid w:val="00C24C6A"/>
    <w:rsid w:val="00C267AE"/>
    <w:rsid w:val="00C27678"/>
    <w:rsid w:val="00C27E01"/>
    <w:rsid w:val="00C32E4D"/>
    <w:rsid w:val="00C333A0"/>
    <w:rsid w:val="00C35191"/>
    <w:rsid w:val="00C35755"/>
    <w:rsid w:val="00C36408"/>
    <w:rsid w:val="00C36A81"/>
    <w:rsid w:val="00C37976"/>
    <w:rsid w:val="00C41974"/>
    <w:rsid w:val="00C432BD"/>
    <w:rsid w:val="00C446CE"/>
    <w:rsid w:val="00C50062"/>
    <w:rsid w:val="00C51D0A"/>
    <w:rsid w:val="00C53F4A"/>
    <w:rsid w:val="00C54125"/>
    <w:rsid w:val="00C55B54"/>
    <w:rsid w:val="00C6098E"/>
    <w:rsid w:val="00C611D8"/>
    <w:rsid w:val="00C6152C"/>
    <w:rsid w:val="00C62046"/>
    <w:rsid w:val="00C6293C"/>
    <w:rsid w:val="00C63990"/>
    <w:rsid w:val="00C63EBC"/>
    <w:rsid w:val="00C64547"/>
    <w:rsid w:val="00C64EF6"/>
    <w:rsid w:val="00C64F59"/>
    <w:rsid w:val="00C64FA4"/>
    <w:rsid w:val="00C65958"/>
    <w:rsid w:val="00C70422"/>
    <w:rsid w:val="00C7391C"/>
    <w:rsid w:val="00C73955"/>
    <w:rsid w:val="00C74810"/>
    <w:rsid w:val="00C803B5"/>
    <w:rsid w:val="00C8096E"/>
    <w:rsid w:val="00C80AE1"/>
    <w:rsid w:val="00C811D1"/>
    <w:rsid w:val="00C83DD0"/>
    <w:rsid w:val="00C845EA"/>
    <w:rsid w:val="00C84E32"/>
    <w:rsid w:val="00C85466"/>
    <w:rsid w:val="00C86190"/>
    <w:rsid w:val="00C86E58"/>
    <w:rsid w:val="00C90124"/>
    <w:rsid w:val="00C90D68"/>
    <w:rsid w:val="00C939FE"/>
    <w:rsid w:val="00C94FE3"/>
    <w:rsid w:val="00C954FC"/>
    <w:rsid w:val="00C95E86"/>
    <w:rsid w:val="00CA0E95"/>
    <w:rsid w:val="00CA3929"/>
    <w:rsid w:val="00CA3964"/>
    <w:rsid w:val="00CA4BDA"/>
    <w:rsid w:val="00CA5B14"/>
    <w:rsid w:val="00CA601B"/>
    <w:rsid w:val="00CB1F66"/>
    <w:rsid w:val="00CB2951"/>
    <w:rsid w:val="00CB31DE"/>
    <w:rsid w:val="00CB6D64"/>
    <w:rsid w:val="00CC141A"/>
    <w:rsid w:val="00CC2A82"/>
    <w:rsid w:val="00CC38A3"/>
    <w:rsid w:val="00CC3EE8"/>
    <w:rsid w:val="00CC4693"/>
    <w:rsid w:val="00CD1EDB"/>
    <w:rsid w:val="00CD282B"/>
    <w:rsid w:val="00CD346C"/>
    <w:rsid w:val="00CD37DC"/>
    <w:rsid w:val="00CD3A98"/>
    <w:rsid w:val="00CD4C35"/>
    <w:rsid w:val="00CD7369"/>
    <w:rsid w:val="00CE0B0E"/>
    <w:rsid w:val="00CE1DE1"/>
    <w:rsid w:val="00CE3622"/>
    <w:rsid w:val="00CE3831"/>
    <w:rsid w:val="00CE5C53"/>
    <w:rsid w:val="00CE6254"/>
    <w:rsid w:val="00CE6B8E"/>
    <w:rsid w:val="00CF20B7"/>
    <w:rsid w:val="00CF4215"/>
    <w:rsid w:val="00CF5224"/>
    <w:rsid w:val="00D00773"/>
    <w:rsid w:val="00D00ABB"/>
    <w:rsid w:val="00D02EEC"/>
    <w:rsid w:val="00D03551"/>
    <w:rsid w:val="00D03A59"/>
    <w:rsid w:val="00D04D56"/>
    <w:rsid w:val="00D061E7"/>
    <w:rsid w:val="00D06A63"/>
    <w:rsid w:val="00D06BAC"/>
    <w:rsid w:val="00D06C44"/>
    <w:rsid w:val="00D06F08"/>
    <w:rsid w:val="00D07DCD"/>
    <w:rsid w:val="00D07E0E"/>
    <w:rsid w:val="00D10952"/>
    <w:rsid w:val="00D10D83"/>
    <w:rsid w:val="00D11478"/>
    <w:rsid w:val="00D12644"/>
    <w:rsid w:val="00D139DA"/>
    <w:rsid w:val="00D14692"/>
    <w:rsid w:val="00D15ED0"/>
    <w:rsid w:val="00D161F2"/>
    <w:rsid w:val="00D16FA0"/>
    <w:rsid w:val="00D21B3E"/>
    <w:rsid w:val="00D21FED"/>
    <w:rsid w:val="00D238AE"/>
    <w:rsid w:val="00D24251"/>
    <w:rsid w:val="00D267F3"/>
    <w:rsid w:val="00D26D31"/>
    <w:rsid w:val="00D307A4"/>
    <w:rsid w:val="00D31022"/>
    <w:rsid w:val="00D320BF"/>
    <w:rsid w:val="00D324BC"/>
    <w:rsid w:val="00D32C3F"/>
    <w:rsid w:val="00D32C56"/>
    <w:rsid w:val="00D343E2"/>
    <w:rsid w:val="00D361A2"/>
    <w:rsid w:val="00D36C60"/>
    <w:rsid w:val="00D37C1F"/>
    <w:rsid w:val="00D40360"/>
    <w:rsid w:val="00D41709"/>
    <w:rsid w:val="00D41933"/>
    <w:rsid w:val="00D42D2B"/>
    <w:rsid w:val="00D437D5"/>
    <w:rsid w:val="00D43CDB"/>
    <w:rsid w:val="00D44C2E"/>
    <w:rsid w:val="00D45414"/>
    <w:rsid w:val="00D45A64"/>
    <w:rsid w:val="00D45DF4"/>
    <w:rsid w:val="00D47024"/>
    <w:rsid w:val="00D506AF"/>
    <w:rsid w:val="00D50889"/>
    <w:rsid w:val="00D5193F"/>
    <w:rsid w:val="00D523DA"/>
    <w:rsid w:val="00D52805"/>
    <w:rsid w:val="00D52A85"/>
    <w:rsid w:val="00D534C7"/>
    <w:rsid w:val="00D53A9A"/>
    <w:rsid w:val="00D566BD"/>
    <w:rsid w:val="00D57A4D"/>
    <w:rsid w:val="00D57D62"/>
    <w:rsid w:val="00D60AA7"/>
    <w:rsid w:val="00D61611"/>
    <w:rsid w:val="00D6242F"/>
    <w:rsid w:val="00D6363B"/>
    <w:rsid w:val="00D64026"/>
    <w:rsid w:val="00D6435F"/>
    <w:rsid w:val="00D64939"/>
    <w:rsid w:val="00D66D8D"/>
    <w:rsid w:val="00D71C69"/>
    <w:rsid w:val="00D74C6F"/>
    <w:rsid w:val="00D75BB7"/>
    <w:rsid w:val="00D75E28"/>
    <w:rsid w:val="00D76F72"/>
    <w:rsid w:val="00D772C2"/>
    <w:rsid w:val="00D774FF"/>
    <w:rsid w:val="00D8008E"/>
    <w:rsid w:val="00D80229"/>
    <w:rsid w:val="00D809B9"/>
    <w:rsid w:val="00D8139C"/>
    <w:rsid w:val="00D81677"/>
    <w:rsid w:val="00D82C45"/>
    <w:rsid w:val="00D839EB"/>
    <w:rsid w:val="00D8479F"/>
    <w:rsid w:val="00D84FAF"/>
    <w:rsid w:val="00D850B7"/>
    <w:rsid w:val="00D85476"/>
    <w:rsid w:val="00D9009A"/>
    <w:rsid w:val="00D908A8"/>
    <w:rsid w:val="00D92679"/>
    <w:rsid w:val="00D93BBF"/>
    <w:rsid w:val="00D94316"/>
    <w:rsid w:val="00D943E5"/>
    <w:rsid w:val="00D94513"/>
    <w:rsid w:val="00D96E07"/>
    <w:rsid w:val="00D97518"/>
    <w:rsid w:val="00D977B6"/>
    <w:rsid w:val="00DA4A31"/>
    <w:rsid w:val="00DA6376"/>
    <w:rsid w:val="00DA6887"/>
    <w:rsid w:val="00DA7B04"/>
    <w:rsid w:val="00DA7C14"/>
    <w:rsid w:val="00DB18FC"/>
    <w:rsid w:val="00DB36C2"/>
    <w:rsid w:val="00DB36EB"/>
    <w:rsid w:val="00DB371D"/>
    <w:rsid w:val="00DB4117"/>
    <w:rsid w:val="00DB61E0"/>
    <w:rsid w:val="00DC07DD"/>
    <w:rsid w:val="00DC15C9"/>
    <w:rsid w:val="00DC169B"/>
    <w:rsid w:val="00DC20D9"/>
    <w:rsid w:val="00DC2AB9"/>
    <w:rsid w:val="00DC3849"/>
    <w:rsid w:val="00DC4083"/>
    <w:rsid w:val="00DC44FA"/>
    <w:rsid w:val="00DC606A"/>
    <w:rsid w:val="00DC63F0"/>
    <w:rsid w:val="00DC73A4"/>
    <w:rsid w:val="00DD3524"/>
    <w:rsid w:val="00DD363E"/>
    <w:rsid w:val="00DD41D1"/>
    <w:rsid w:val="00DD47A8"/>
    <w:rsid w:val="00DD5146"/>
    <w:rsid w:val="00DD63C1"/>
    <w:rsid w:val="00DD69F7"/>
    <w:rsid w:val="00DD6EE5"/>
    <w:rsid w:val="00DD7620"/>
    <w:rsid w:val="00DD78D0"/>
    <w:rsid w:val="00DE05A4"/>
    <w:rsid w:val="00DE343B"/>
    <w:rsid w:val="00DE386C"/>
    <w:rsid w:val="00DE4D35"/>
    <w:rsid w:val="00DE607F"/>
    <w:rsid w:val="00DF098B"/>
    <w:rsid w:val="00DF0F5F"/>
    <w:rsid w:val="00DF11C4"/>
    <w:rsid w:val="00DF202D"/>
    <w:rsid w:val="00DF210C"/>
    <w:rsid w:val="00DF31B9"/>
    <w:rsid w:val="00DF3436"/>
    <w:rsid w:val="00DF3886"/>
    <w:rsid w:val="00DF4B6A"/>
    <w:rsid w:val="00DF5502"/>
    <w:rsid w:val="00DF7CD8"/>
    <w:rsid w:val="00E01978"/>
    <w:rsid w:val="00E01E65"/>
    <w:rsid w:val="00E02B4A"/>
    <w:rsid w:val="00E02C09"/>
    <w:rsid w:val="00E043EB"/>
    <w:rsid w:val="00E04D59"/>
    <w:rsid w:val="00E06FBB"/>
    <w:rsid w:val="00E07DA1"/>
    <w:rsid w:val="00E111DA"/>
    <w:rsid w:val="00E123CB"/>
    <w:rsid w:val="00E13BD9"/>
    <w:rsid w:val="00E13C38"/>
    <w:rsid w:val="00E15974"/>
    <w:rsid w:val="00E15A7D"/>
    <w:rsid w:val="00E172E0"/>
    <w:rsid w:val="00E20E13"/>
    <w:rsid w:val="00E21DBC"/>
    <w:rsid w:val="00E2227B"/>
    <w:rsid w:val="00E22BF2"/>
    <w:rsid w:val="00E22FDB"/>
    <w:rsid w:val="00E23397"/>
    <w:rsid w:val="00E25178"/>
    <w:rsid w:val="00E268C4"/>
    <w:rsid w:val="00E26F02"/>
    <w:rsid w:val="00E27178"/>
    <w:rsid w:val="00E275D7"/>
    <w:rsid w:val="00E27DBE"/>
    <w:rsid w:val="00E32457"/>
    <w:rsid w:val="00E32956"/>
    <w:rsid w:val="00E32AB1"/>
    <w:rsid w:val="00E32F50"/>
    <w:rsid w:val="00E336BA"/>
    <w:rsid w:val="00E34D0C"/>
    <w:rsid w:val="00E352C9"/>
    <w:rsid w:val="00E35BAC"/>
    <w:rsid w:val="00E366E7"/>
    <w:rsid w:val="00E36C71"/>
    <w:rsid w:val="00E40404"/>
    <w:rsid w:val="00E41FF6"/>
    <w:rsid w:val="00E42A71"/>
    <w:rsid w:val="00E437EC"/>
    <w:rsid w:val="00E44D37"/>
    <w:rsid w:val="00E4529A"/>
    <w:rsid w:val="00E459C6"/>
    <w:rsid w:val="00E47589"/>
    <w:rsid w:val="00E503F4"/>
    <w:rsid w:val="00E50F65"/>
    <w:rsid w:val="00E55EB4"/>
    <w:rsid w:val="00E56AE9"/>
    <w:rsid w:val="00E61E8D"/>
    <w:rsid w:val="00E62647"/>
    <w:rsid w:val="00E635FF"/>
    <w:rsid w:val="00E63DA6"/>
    <w:rsid w:val="00E64915"/>
    <w:rsid w:val="00E64E41"/>
    <w:rsid w:val="00E661D4"/>
    <w:rsid w:val="00E66868"/>
    <w:rsid w:val="00E6701E"/>
    <w:rsid w:val="00E70091"/>
    <w:rsid w:val="00E708CA"/>
    <w:rsid w:val="00E713FE"/>
    <w:rsid w:val="00E71EDA"/>
    <w:rsid w:val="00E720F5"/>
    <w:rsid w:val="00E72DE2"/>
    <w:rsid w:val="00E75DA4"/>
    <w:rsid w:val="00E767EB"/>
    <w:rsid w:val="00E76D47"/>
    <w:rsid w:val="00E770FB"/>
    <w:rsid w:val="00E77576"/>
    <w:rsid w:val="00E77A95"/>
    <w:rsid w:val="00E77CB3"/>
    <w:rsid w:val="00E8262F"/>
    <w:rsid w:val="00E838FD"/>
    <w:rsid w:val="00E849F7"/>
    <w:rsid w:val="00E85515"/>
    <w:rsid w:val="00E902BB"/>
    <w:rsid w:val="00E90302"/>
    <w:rsid w:val="00E908AB"/>
    <w:rsid w:val="00E90D37"/>
    <w:rsid w:val="00E91577"/>
    <w:rsid w:val="00E91CDE"/>
    <w:rsid w:val="00E92519"/>
    <w:rsid w:val="00E926B2"/>
    <w:rsid w:val="00E92D84"/>
    <w:rsid w:val="00E97396"/>
    <w:rsid w:val="00E978EB"/>
    <w:rsid w:val="00E97C0C"/>
    <w:rsid w:val="00EA0A70"/>
    <w:rsid w:val="00EA163F"/>
    <w:rsid w:val="00EA185E"/>
    <w:rsid w:val="00EA39D6"/>
    <w:rsid w:val="00EA4568"/>
    <w:rsid w:val="00EA4EF5"/>
    <w:rsid w:val="00EA592A"/>
    <w:rsid w:val="00EA67FF"/>
    <w:rsid w:val="00EB002D"/>
    <w:rsid w:val="00EB14E4"/>
    <w:rsid w:val="00EB32A5"/>
    <w:rsid w:val="00EB32D1"/>
    <w:rsid w:val="00EB34ED"/>
    <w:rsid w:val="00EB7BE0"/>
    <w:rsid w:val="00EB7E63"/>
    <w:rsid w:val="00EC00B2"/>
    <w:rsid w:val="00EC20BB"/>
    <w:rsid w:val="00EC2474"/>
    <w:rsid w:val="00EC315E"/>
    <w:rsid w:val="00EC595B"/>
    <w:rsid w:val="00ED077C"/>
    <w:rsid w:val="00ED0933"/>
    <w:rsid w:val="00ED1190"/>
    <w:rsid w:val="00ED165F"/>
    <w:rsid w:val="00ED1DF4"/>
    <w:rsid w:val="00ED2BBC"/>
    <w:rsid w:val="00ED5FE7"/>
    <w:rsid w:val="00ED6544"/>
    <w:rsid w:val="00EE0181"/>
    <w:rsid w:val="00EE0277"/>
    <w:rsid w:val="00EE246F"/>
    <w:rsid w:val="00EE2626"/>
    <w:rsid w:val="00EE3E00"/>
    <w:rsid w:val="00EE3F3A"/>
    <w:rsid w:val="00EE4DD1"/>
    <w:rsid w:val="00EE5DD2"/>
    <w:rsid w:val="00EE7333"/>
    <w:rsid w:val="00EE7FBC"/>
    <w:rsid w:val="00EF0ECA"/>
    <w:rsid w:val="00F00A79"/>
    <w:rsid w:val="00F00C7F"/>
    <w:rsid w:val="00F00E86"/>
    <w:rsid w:val="00F011AD"/>
    <w:rsid w:val="00F05209"/>
    <w:rsid w:val="00F062B2"/>
    <w:rsid w:val="00F07C1E"/>
    <w:rsid w:val="00F07DA7"/>
    <w:rsid w:val="00F105DB"/>
    <w:rsid w:val="00F11224"/>
    <w:rsid w:val="00F11C0E"/>
    <w:rsid w:val="00F132BC"/>
    <w:rsid w:val="00F13D80"/>
    <w:rsid w:val="00F1607D"/>
    <w:rsid w:val="00F16AAA"/>
    <w:rsid w:val="00F21161"/>
    <w:rsid w:val="00F218EF"/>
    <w:rsid w:val="00F21BC7"/>
    <w:rsid w:val="00F22128"/>
    <w:rsid w:val="00F238FD"/>
    <w:rsid w:val="00F24461"/>
    <w:rsid w:val="00F2543A"/>
    <w:rsid w:val="00F25DBF"/>
    <w:rsid w:val="00F25F99"/>
    <w:rsid w:val="00F26638"/>
    <w:rsid w:val="00F266A2"/>
    <w:rsid w:val="00F271FE"/>
    <w:rsid w:val="00F30303"/>
    <w:rsid w:val="00F3126C"/>
    <w:rsid w:val="00F32269"/>
    <w:rsid w:val="00F3445B"/>
    <w:rsid w:val="00F351A8"/>
    <w:rsid w:val="00F352D1"/>
    <w:rsid w:val="00F35FC8"/>
    <w:rsid w:val="00F42DDF"/>
    <w:rsid w:val="00F42EE5"/>
    <w:rsid w:val="00F4460B"/>
    <w:rsid w:val="00F44836"/>
    <w:rsid w:val="00F44FF5"/>
    <w:rsid w:val="00F455DD"/>
    <w:rsid w:val="00F46CE8"/>
    <w:rsid w:val="00F50A7E"/>
    <w:rsid w:val="00F523FB"/>
    <w:rsid w:val="00F53896"/>
    <w:rsid w:val="00F56A6F"/>
    <w:rsid w:val="00F5709C"/>
    <w:rsid w:val="00F610E7"/>
    <w:rsid w:val="00F64EF1"/>
    <w:rsid w:val="00F65398"/>
    <w:rsid w:val="00F66DCF"/>
    <w:rsid w:val="00F67270"/>
    <w:rsid w:val="00F67388"/>
    <w:rsid w:val="00F70E11"/>
    <w:rsid w:val="00F74034"/>
    <w:rsid w:val="00F75361"/>
    <w:rsid w:val="00F76783"/>
    <w:rsid w:val="00F76D5A"/>
    <w:rsid w:val="00F813C6"/>
    <w:rsid w:val="00F816EF"/>
    <w:rsid w:val="00F82451"/>
    <w:rsid w:val="00F82FCA"/>
    <w:rsid w:val="00F8765F"/>
    <w:rsid w:val="00F87A7E"/>
    <w:rsid w:val="00F87EE1"/>
    <w:rsid w:val="00F90767"/>
    <w:rsid w:val="00F91053"/>
    <w:rsid w:val="00F921AC"/>
    <w:rsid w:val="00F93ADE"/>
    <w:rsid w:val="00F955EE"/>
    <w:rsid w:val="00F95EB5"/>
    <w:rsid w:val="00F963CF"/>
    <w:rsid w:val="00FA11C1"/>
    <w:rsid w:val="00FA1ACC"/>
    <w:rsid w:val="00FA4CD7"/>
    <w:rsid w:val="00FA685B"/>
    <w:rsid w:val="00FB0C01"/>
    <w:rsid w:val="00FB302A"/>
    <w:rsid w:val="00FB3067"/>
    <w:rsid w:val="00FB3178"/>
    <w:rsid w:val="00FB36BD"/>
    <w:rsid w:val="00FB37E8"/>
    <w:rsid w:val="00FB3846"/>
    <w:rsid w:val="00FB61DF"/>
    <w:rsid w:val="00FB6639"/>
    <w:rsid w:val="00FB6F03"/>
    <w:rsid w:val="00FC18F2"/>
    <w:rsid w:val="00FC2DC9"/>
    <w:rsid w:val="00FC355A"/>
    <w:rsid w:val="00FC39E5"/>
    <w:rsid w:val="00FC3A78"/>
    <w:rsid w:val="00FC56A6"/>
    <w:rsid w:val="00FC6E1D"/>
    <w:rsid w:val="00FD0E52"/>
    <w:rsid w:val="00FD1005"/>
    <w:rsid w:val="00FD4CD3"/>
    <w:rsid w:val="00FD6121"/>
    <w:rsid w:val="00FD655E"/>
    <w:rsid w:val="00FD6C75"/>
    <w:rsid w:val="00FD7170"/>
    <w:rsid w:val="00FE1F94"/>
    <w:rsid w:val="00FE4FB4"/>
    <w:rsid w:val="00FE71B3"/>
    <w:rsid w:val="00FF0F33"/>
    <w:rsid w:val="00FF3055"/>
    <w:rsid w:val="00FF3387"/>
    <w:rsid w:val="00FF3CD0"/>
    <w:rsid w:val="00FF42C5"/>
    <w:rsid w:val="00FF633D"/>
    <w:rsid w:val="00FF7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qFormat/>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qFormat/>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qFormat/>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qFormat/>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qFormat/>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qFormat/>
    <w:rsid w:val="00C63990"/>
    <w:pPr>
      <w:ind w:firstLine="284"/>
    </w:pPr>
  </w:style>
  <w:style w:type="character" w:styleId="Enfasigrassetto">
    <w:name w:val="Strong"/>
    <w:uiPriority w:val="22"/>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qFormat/>
    <w:rsid w:val="00C63990"/>
    <w:pPr>
      <w:ind w:left="284" w:firstLine="284"/>
    </w:pPr>
  </w:style>
  <w:style w:type="paragraph" w:customStyle="1" w:styleId="OpiParaSub">
    <w:name w:val="Opi_Para_Sub"/>
    <w:basedOn w:val="JuParaSub"/>
    <w:qFormat/>
    <w:rsid w:val="00E77CB3"/>
  </w:style>
  <w:style w:type="paragraph" w:customStyle="1" w:styleId="OpiQuot">
    <w:name w:val="Opi_Quot"/>
    <w:basedOn w:val="ECHRParaQuote"/>
    <w:qFormat/>
    <w:rsid w:val="00E77CB3"/>
  </w:style>
  <w:style w:type="paragraph" w:customStyle="1" w:styleId="OpiQuotSub">
    <w:name w:val="Opi_Quot_Sub"/>
    <w:basedOn w:val="JuQuotSub"/>
    <w:qFormat/>
    <w:rsid w:val="00E77CB3"/>
  </w:style>
  <w:style w:type="paragraph" w:customStyle="1" w:styleId="ECHRTitleCentre3">
    <w:name w:val="ECHR_Title_Centre_3"/>
    <w:aliases w:val="Ju_H_Article"/>
    <w:basedOn w:val="Normale"/>
    <w:next w:val="ECHRParaQuote"/>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qFormat/>
    <w:rsid w:val="00E77CB3"/>
    <w:pPr>
      <w:ind w:left="567"/>
    </w:pPr>
  </w:style>
  <w:style w:type="paragraph" w:customStyle="1" w:styleId="JuInitialled">
    <w:name w:val="Ju_Initialled"/>
    <w:basedOn w:val="Normale"/>
    <w:qFormat/>
    <w:rsid w:val="00E77CB3"/>
    <w:pPr>
      <w:tabs>
        <w:tab w:val="center" w:pos="6407"/>
      </w:tabs>
      <w:spacing w:before="720"/>
      <w:jc w:val="right"/>
    </w:pPr>
  </w:style>
  <w:style w:type="paragraph" w:customStyle="1" w:styleId="OpiHA">
    <w:name w:val="Opi_H_A"/>
    <w:basedOn w:val="Normale"/>
    <w:next w:val="OpiPara"/>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link w:val="JuHaChar"/>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link w:val="JuHiChar"/>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qFormat/>
    <w:rsid w:val="00E77CB3"/>
    <w:pPr>
      <w:ind w:left="833" w:hanging="357"/>
      <w:outlineLvl w:val="3"/>
    </w:pPr>
    <w:rPr>
      <w:b/>
      <w:i w:val="0"/>
      <w:sz w:val="20"/>
    </w:rPr>
  </w:style>
  <w:style w:type="paragraph" w:customStyle="1" w:styleId="OpiHi">
    <w:name w:val="Opi_H_i"/>
    <w:basedOn w:val="ECHRHeading4"/>
    <w:qFormat/>
    <w:rsid w:val="00E77CB3"/>
    <w:pPr>
      <w:ind w:left="1037" w:hanging="357"/>
      <w:outlineLvl w:val="4"/>
    </w:pPr>
    <w:rPr>
      <w:b w:val="0"/>
      <w:i/>
    </w:rPr>
  </w:style>
  <w:style w:type="paragraph" w:styleId="Intestazione">
    <w:name w:val="header"/>
    <w:basedOn w:val="Normale"/>
    <w:link w:val="IntestazioneCarattere"/>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link w:val="JuHAChar0"/>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e"/>
    <w:link w:val="JuParaChar"/>
    <w:uiPriority w:val="12"/>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link w:val="JuHHeadChar"/>
    <w:qFormat/>
    <w:rsid w:val="00E77CB3"/>
    <w:pPr>
      <w:keepNext/>
      <w:keepLines/>
      <w:spacing w:before="720" w:after="240"/>
      <w:outlineLvl w:val="0"/>
    </w:pPr>
    <w:rPr>
      <w:rFonts w:asciiTheme="majorHAnsi" w:hAnsiTheme="majorHAnsi"/>
      <w:sz w:val="28"/>
    </w:rPr>
  </w:style>
  <w:style w:type="character" w:styleId="Enfasicorsivo">
    <w:name w:val="Emphasis"/>
    <w:qFormat/>
    <w:rsid w:val="00E77CB3"/>
    <w:rPr>
      <w:b/>
      <w:bCs/>
      <w:i/>
      <w:iCs/>
      <w:spacing w:val="10"/>
      <w:bdr w:val="none" w:sz="0" w:space="0" w:color="auto"/>
      <w:shd w:val="clear" w:color="auto" w:fill="auto"/>
    </w:rPr>
  </w:style>
  <w:style w:type="paragraph" w:styleId="Pidipagina">
    <w:name w:val="footer"/>
    <w:basedOn w:val="Normale"/>
    <w:link w:val="PidipaginaCarattere"/>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aliases w:val="callout,Footnotes refss"/>
    <w:basedOn w:val="Carpredefinitoparagrafo"/>
    <w:uiPriority w:val="99"/>
    <w:semiHidden/>
    <w:rsid w:val="00941747"/>
    <w:rPr>
      <w:vertAlign w:val="superscript"/>
    </w:rPr>
  </w:style>
  <w:style w:type="paragraph" w:styleId="Testonotaapidipagina">
    <w:name w:val="footnote text"/>
    <w:basedOn w:val="Normale"/>
    <w:link w:val="TestonotaapidipaginaCarattere"/>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link w:val="JuQuotChar"/>
    <w:uiPriority w:val="14"/>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qFormat/>
    <w:rsid w:val="00E77CB3"/>
    <w:pPr>
      <w:tabs>
        <w:tab w:val="center" w:pos="851"/>
        <w:tab w:val="center" w:pos="6407"/>
      </w:tabs>
      <w:spacing w:before="720"/>
      <w:jc w:val="left"/>
    </w:pPr>
  </w:style>
  <w:style w:type="paragraph" w:customStyle="1" w:styleId="JuParaLast">
    <w:name w:val="Ju_Para_Last"/>
    <w:basedOn w:val="Normale"/>
    <w:next w:val="Normale"/>
    <w:link w:val="JuParaLastChar"/>
    <w:qFormat/>
    <w:rsid w:val="00E77CB3"/>
    <w:pPr>
      <w:keepNext/>
      <w:keepLines/>
      <w:spacing w:before="240"/>
      <w:ind w:firstLine="284"/>
    </w:pPr>
  </w:style>
  <w:style w:type="paragraph" w:customStyle="1" w:styleId="JuCase">
    <w:name w:val="Ju_Case"/>
    <w:basedOn w:val="Normale"/>
    <w:next w:val="Normale"/>
    <w:rsid w:val="00E77CB3"/>
    <w:pPr>
      <w:ind w:firstLine="284"/>
    </w:pPr>
    <w:rPr>
      <w:b/>
    </w:rPr>
  </w:style>
  <w:style w:type="paragraph" w:customStyle="1" w:styleId="JuList">
    <w:name w:val="Ju_List"/>
    <w:basedOn w:val="Normale"/>
    <w:qFormat/>
    <w:rsid w:val="00E77CB3"/>
    <w:pPr>
      <w:ind w:left="340" w:hanging="340"/>
    </w:pPr>
  </w:style>
  <w:style w:type="paragraph" w:customStyle="1" w:styleId="JuCourt">
    <w:name w:val="Ju_Court"/>
    <w:basedOn w:val="Normale"/>
    <w:next w:val="Normale"/>
    <w:qFormat/>
    <w:rsid w:val="00E77CB3"/>
    <w:pPr>
      <w:tabs>
        <w:tab w:val="left" w:pos="907"/>
        <w:tab w:val="left" w:pos="1701"/>
        <w:tab w:val="right" w:pos="7371"/>
      </w:tabs>
      <w:spacing w:before="240"/>
      <w:ind w:left="397" w:hanging="397"/>
      <w:jc w:val="left"/>
    </w:pPr>
    <w:rPr>
      <w:lang w:bidi="en-US"/>
    </w:rPr>
  </w:style>
  <w:style w:type="character" w:styleId="Numeropagina">
    <w:name w:val="page number"/>
    <w:rsid w:val="00E77CB3"/>
    <w:rPr>
      <w:rFonts w:ascii="Times New Roman" w:hAnsi="Times New Roman" w:cs="Times New Roman"/>
      <w:sz w:val="18"/>
    </w:rPr>
  </w:style>
  <w:style w:type="paragraph" w:customStyle="1" w:styleId="JuLista">
    <w:name w:val="Ju_List_a"/>
    <w:basedOn w:val="JuList"/>
    <w:qFormat/>
    <w:rsid w:val="00E77CB3"/>
    <w:pPr>
      <w:ind w:left="346" w:firstLine="0"/>
    </w:pPr>
  </w:style>
  <w:style w:type="paragraph" w:customStyle="1" w:styleId="JuListi">
    <w:name w:val="Ju_List_i"/>
    <w:basedOn w:val="Normale"/>
    <w:next w:val="JuLista"/>
    <w:qFormat/>
    <w:rsid w:val="00E77CB3"/>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rsid w:val="00E77CB3"/>
    <w:rPr>
      <w:rFonts w:ascii="Times New Roman" w:hAnsi="Times New Roman" w:cs="Times New Roman"/>
      <w:color w:val="800080"/>
      <w:u w:val="single"/>
    </w:rPr>
  </w:style>
  <w:style w:type="paragraph" w:styleId="Puntoelenco">
    <w:name w:val="List Bullet"/>
    <w:basedOn w:val="Normale"/>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JuParaChar">
    <w:name w:val="Ju_Para Char"/>
    <w:aliases w:val="ECHR_Para Char"/>
    <w:basedOn w:val="Carpredefinitoparagrafo"/>
    <w:link w:val="ECHRPara"/>
    <w:uiPriority w:val="12"/>
    <w:rsid w:val="00730D47"/>
    <w:rPr>
      <w:rFonts w:eastAsiaTheme="minorEastAsia"/>
      <w:sz w:val="24"/>
    </w:rPr>
  </w:style>
  <w:style w:type="character" w:customStyle="1" w:styleId="JuHaChar">
    <w:name w:val="Ju_H_a Char"/>
    <w:basedOn w:val="Carpredefinitoparagrafo"/>
    <w:link w:val="ECHRHeading4"/>
    <w:rsid w:val="00730D47"/>
    <w:rPr>
      <w:rFonts w:asciiTheme="majorHAnsi" w:eastAsiaTheme="majorEastAsia" w:hAnsiTheme="majorHAnsi" w:cstheme="majorBidi"/>
      <w:b/>
      <w:bCs/>
      <w:iCs/>
      <w:sz w:val="20"/>
    </w:rPr>
  </w:style>
  <w:style w:type="character" w:customStyle="1" w:styleId="JuHiChar">
    <w:name w:val="Ju_H_i Char"/>
    <w:basedOn w:val="JuHaChar"/>
    <w:link w:val="ECHRHeading5"/>
    <w:rsid w:val="00730D47"/>
    <w:rPr>
      <w:rFonts w:asciiTheme="majorHAnsi" w:eastAsiaTheme="majorEastAsia" w:hAnsiTheme="majorHAnsi" w:cstheme="majorBidi"/>
      <w:b w:val="0"/>
      <w:bCs/>
      <w:i/>
      <w:iCs w:val="0"/>
      <w:sz w:val="20"/>
    </w:rPr>
  </w:style>
  <w:style w:type="character" w:customStyle="1" w:styleId="JuQuotChar">
    <w:name w:val="Ju_Quot Char"/>
    <w:basedOn w:val="JuParaChar"/>
    <w:link w:val="ECHRParaQuote"/>
    <w:rsid w:val="00730D47"/>
    <w:rPr>
      <w:rFonts w:eastAsiaTheme="minorEastAsia"/>
      <w:sz w:val="20"/>
    </w:rPr>
  </w:style>
  <w:style w:type="character" w:customStyle="1" w:styleId="ju-005fpara-002cleft-002cfirst-0020line-003a-0020-00200-0020cm--char">
    <w:name w:val="ju-005fpara-002cleft-002cfirst-0020line-003a-0020-00200-0020cm--char"/>
    <w:basedOn w:val="Carpredefinitoparagrafo"/>
    <w:rsid w:val="00730D47"/>
  </w:style>
  <w:style w:type="character" w:customStyle="1" w:styleId="ju-005fpara--char">
    <w:name w:val="ju-005fpara--char"/>
    <w:basedOn w:val="Carpredefinitoparagrafo"/>
    <w:rsid w:val="00730D47"/>
  </w:style>
  <w:style w:type="character" w:customStyle="1" w:styleId="sb8d990e2">
    <w:name w:val="sb8d990e2"/>
    <w:basedOn w:val="Carpredefinitoparagrafo"/>
    <w:rsid w:val="00730D47"/>
  </w:style>
  <w:style w:type="character" w:customStyle="1" w:styleId="sea881cdfhasverticalalignsuper">
    <w:name w:val="sea881cdf hasverticalalignsuper"/>
    <w:basedOn w:val="Carpredefinitoparagrafo"/>
    <w:rsid w:val="00730D47"/>
  </w:style>
  <w:style w:type="paragraph" w:customStyle="1" w:styleId="JuQuotList">
    <w:name w:val="Ju_Quot_List"/>
    <w:basedOn w:val="ECHRParaQuote"/>
    <w:rsid w:val="00B13255"/>
    <w:pPr>
      <w:tabs>
        <w:tab w:val="left" w:pos="1021"/>
      </w:tabs>
      <w:ind w:left="567" w:firstLine="0"/>
    </w:pPr>
    <w:rPr>
      <w:rFonts w:ascii="Times New Roman" w:eastAsia="Times New Roman" w:hAnsi="Times New Roman" w:cs="Times New Roman"/>
      <w:szCs w:val="20"/>
      <w:lang w:val="fr-FR" w:eastAsia="fr-FR"/>
    </w:rPr>
  </w:style>
  <w:style w:type="character" w:customStyle="1" w:styleId="JuParaCar">
    <w:name w:val="Ju_Para Car"/>
    <w:uiPriority w:val="12"/>
    <w:rsid w:val="00922063"/>
    <w:rPr>
      <w:rFonts w:eastAsiaTheme="minorEastAsia"/>
      <w:sz w:val="24"/>
    </w:rPr>
  </w:style>
  <w:style w:type="character" w:customStyle="1" w:styleId="JuHAChar0">
    <w:name w:val="Ju_H_A Char"/>
    <w:link w:val="ECHRHeading2"/>
    <w:rsid w:val="00D26D31"/>
    <w:rPr>
      <w:rFonts w:asciiTheme="majorHAnsi" w:eastAsiaTheme="majorEastAsia" w:hAnsiTheme="majorHAnsi" w:cstheme="majorBidi"/>
      <w:b/>
      <w:bCs/>
      <w:sz w:val="24"/>
      <w:szCs w:val="26"/>
    </w:rPr>
  </w:style>
  <w:style w:type="character" w:customStyle="1" w:styleId="ju-005fh-005fa-0020char--char">
    <w:name w:val="ju-005fh-005fa-0020char--char"/>
    <w:basedOn w:val="Carpredefinitoparagrafo"/>
    <w:rsid w:val="00D26D31"/>
  </w:style>
  <w:style w:type="character" w:customStyle="1" w:styleId="ju-005fh-005f1-002e-0020char--char">
    <w:name w:val="ju-005fh-005f1-002e-0020char--char"/>
    <w:basedOn w:val="Carpredefinitoparagrafo"/>
    <w:rsid w:val="00D26D31"/>
  </w:style>
  <w:style w:type="character" w:customStyle="1" w:styleId="s6b621b36">
    <w:name w:val="s6b621b36"/>
    <w:basedOn w:val="Carpredefinitoparagrafo"/>
    <w:rsid w:val="00D437D5"/>
  </w:style>
  <w:style w:type="character" w:customStyle="1" w:styleId="wordhighlighted">
    <w:name w:val="wordhighlighted"/>
    <w:basedOn w:val="Carpredefinitoparagrafo"/>
    <w:rsid w:val="00D437D5"/>
  </w:style>
  <w:style w:type="character" w:customStyle="1" w:styleId="sea881cdf">
    <w:name w:val="sea881cdf"/>
    <w:basedOn w:val="Carpredefinitoparagrafo"/>
    <w:rsid w:val="00674842"/>
  </w:style>
  <w:style w:type="paragraph" w:customStyle="1" w:styleId="NormalTimesNewRoman">
    <w:name w:val="Normal_TimesNewRoman"/>
    <w:link w:val="NormalTimesNewRomanChar"/>
    <w:rsid w:val="004A51F8"/>
    <w:rPr>
      <w:rFonts w:ascii="Times New Roman" w:eastAsia="Times New Roman" w:hAnsi="Times New Roman" w:cs="Times New Roman"/>
      <w:sz w:val="24"/>
      <w:szCs w:val="20"/>
      <w:lang w:val="fr-FR" w:eastAsia="fr-FR"/>
    </w:rPr>
  </w:style>
  <w:style w:type="paragraph" w:customStyle="1" w:styleId="DecHTitle">
    <w:name w:val="Dec_H_Title"/>
    <w:basedOn w:val="NormalTimesNewRoman"/>
    <w:rsid w:val="004A51F8"/>
    <w:pPr>
      <w:spacing w:after="240"/>
      <w:jc w:val="center"/>
      <w:outlineLvl w:val="0"/>
    </w:pPr>
    <w:rPr>
      <w:sz w:val="28"/>
    </w:rPr>
  </w:style>
  <w:style w:type="paragraph" w:customStyle="1" w:styleId="DecHCase">
    <w:name w:val="Dec_H_Case"/>
    <w:basedOn w:val="DecHTitle"/>
    <w:next w:val="ECHRPara"/>
    <w:rsid w:val="004A51F8"/>
    <w:rPr>
      <w:sz w:val="24"/>
    </w:rPr>
  </w:style>
  <w:style w:type="paragraph" w:customStyle="1" w:styleId="DecList">
    <w:name w:val="Dec_List"/>
    <w:basedOn w:val="NormalTimesNewRoman"/>
    <w:rsid w:val="004A51F8"/>
    <w:pPr>
      <w:spacing w:before="240"/>
      <w:ind w:left="284"/>
      <w:jc w:val="both"/>
    </w:pPr>
  </w:style>
  <w:style w:type="paragraph" w:customStyle="1" w:styleId="OpiH10">
    <w:name w:val="Opi_H_1."/>
    <w:basedOn w:val="OpiHA"/>
    <w:next w:val="OpiPara"/>
    <w:rsid w:val="004A51F8"/>
    <w:pPr>
      <w:tabs>
        <w:tab w:val="clear" w:pos="357"/>
      </w:tabs>
      <w:spacing w:before="240" w:after="120"/>
      <w:ind w:left="635"/>
      <w:outlineLvl w:val="2"/>
    </w:pPr>
    <w:rPr>
      <w:rFonts w:ascii="Times New Roman" w:eastAsia="Times New Roman" w:hAnsi="Times New Roman" w:cs="Times New Roman"/>
      <w:i/>
      <w:szCs w:val="20"/>
      <w:lang w:val="fr-FR" w:eastAsia="fr-FR"/>
    </w:rPr>
  </w:style>
  <w:style w:type="paragraph" w:customStyle="1" w:styleId="SuCoverTitle1">
    <w:name w:val="Su_Cover_Title1"/>
    <w:basedOn w:val="NormalTimesNewRoman"/>
    <w:next w:val="SuCoverTitle2"/>
    <w:rsid w:val="004A51F8"/>
    <w:pPr>
      <w:spacing w:before="2500"/>
      <w:jc w:val="center"/>
    </w:pPr>
    <w:rPr>
      <w:sz w:val="22"/>
    </w:rPr>
  </w:style>
  <w:style w:type="paragraph" w:customStyle="1" w:styleId="SuCoverTitle2">
    <w:name w:val="Su_Cover_Title2"/>
    <w:basedOn w:val="SuCoverTitle1"/>
    <w:next w:val="Normale"/>
    <w:rsid w:val="004A51F8"/>
    <w:pPr>
      <w:spacing w:before="240"/>
    </w:pPr>
    <w:rPr>
      <w:sz w:val="18"/>
    </w:rPr>
  </w:style>
  <w:style w:type="paragraph" w:customStyle="1" w:styleId="SuPara">
    <w:name w:val="Su_Para"/>
    <w:basedOn w:val="SuKeywords"/>
    <w:rsid w:val="004A51F8"/>
    <w:pPr>
      <w:spacing w:before="0" w:after="0"/>
    </w:pPr>
    <w:rPr>
      <w:i w:val="0"/>
    </w:rPr>
  </w:style>
  <w:style w:type="paragraph" w:customStyle="1" w:styleId="SuKeywords">
    <w:name w:val="Su_Keywords"/>
    <w:basedOn w:val="SuHHead"/>
    <w:rsid w:val="004A51F8"/>
    <w:pPr>
      <w:spacing w:before="120"/>
    </w:pPr>
    <w:rPr>
      <w:b w:val="0"/>
      <w:i/>
    </w:rPr>
  </w:style>
  <w:style w:type="paragraph" w:customStyle="1" w:styleId="SuHHead">
    <w:name w:val="Su_H_Head"/>
    <w:basedOn w:val="SuSubject"/>
    <w:rsid w:val="004A51F8"/>
    <w:pPr>
      <w:spacing w:after="120"/>
    </w:pPr>
  </w:style>
  <w:style w:type="paragraph" w:customStyle="1" w:styleId="SuSubject">
    <w:name w:val="Su_Subject"/>
    <w:basedOn w:val="SuSummary"/>
    <w:rsid w:val="004A51F8"/>
    <w:pPr>
      <w:spacing w:before="360"/>
      <w:jc w:val="both"/>
    </w:pPr>
    <w:rPr>
      <w:b/>
      <w:sz w:val="22"/>
    </w:rPr>
  </w:style>
  <w:style w:type="paragraph" w:customStyle="1" w:styleId="SuSummary">
    <w:name w:val="Su_Summary"/>
    <w:basedOn w:val="NormalTimesNewRoman"/>
    <w:next w:val="SuSubject"/>
    <w:rsid w:val="004A51F8"/>
    <w:pPr>
      <w:spacing w:after="240"/>
      <w:jc w:val="center"/>
    </w:pPr>
  </w:style>
  <w:style w:type="paragraph" w:customStyle="1" w:styleId="JuAppQuestion">
    <w:name w:val="Ju_App_Question"/>
    <w:basedOn w:val="Puntoelenco"/>
    <w:rsid w:val="004A51F8"/>
    <w:pPr>
      <w:numPr>
        <w:numId w:val="18"/>
      </w:numPr>
      <w:jc w:val="left"/>
    </w:pPr>
    <w:rPr>
      <w:rFonts w:ascii="Times New Roman" w:eastAsia="Times New Roman" w:hAnsi="Times New Roman" w:cs="Times New Roman"/>
      <w:b/>
      <w:color w:val="333333"/>
      <w:szCs w:val="20"/>
      <w:lang w:val="en-GB" w:eastAsia="fr-FR"/>
    </w:rPr>
  </w:style>
  <w:style w:type="character" w:customStyle="1" w:styleId="DefaultTimesNewRoman">
    <w:name w:val="Default_TimesNewRoman"/>
    <w:basedOn w:val="Carpredefinitoparagrafo"/>
    <w:rsid w:val="004A51F8"/>
    <w:rPr>
      <w:rFonts w:ascii="Times New Roman" w:hAnsi="Times New Roman" w:cs="Times New Roman"/>
    </w:rPr>
  </w:style>
  <w:style w:type="character" w:customStyle="1" w:styleId="NormalTimesNewRomanChar">
    <w:name w:val="Normal_TimesNewRoman Char"/>
    <w:basedOn w:val="Carpredefinitoparagrafo"/>
    <w:link w:val="NormalTimesNewRoman"/>
    <w:rsid w:val="004A51F8"/>
    <w:rPr>
      <w:rFonts w:ascii="Times New Roman" w:eastAsia="Times New Roman" w:hAnsi="Times New Roman" w:cs="Times New Roman"/>
      <w:sz w:val="24"/>
      <w:szCs w:val="20"/>
      <w:lang w:val="fr-FR" w:eastAsia="fr-FR"/>
    </w:rPr>
  </w:style>
  <w:style w:type="character" w:customStyle="1" w:styleId="JuHHeadChar">
    <w:name w:val="Ju_H_Head Char"/>
    <w:basedOn w:val="NormalTimesNewRomanChar"/>
    <w:link w:val="ECHRTitle1"/>
    <w:rsid w:val="004A51F8"/>
    <w:rPr>
      <w:rFonts w:asciiTheme="majorHAnsi" w:eastAsiaTheme="minorEastAsia" w:hAnsiTheme="majorHAnsi" w:cs="Times New Roman"/>
      <w:sz w:val="28"/>
      <w:szCs w:val="20"/>
      <w:lang w:val="fr-FR" w:eastAsia="fr-FR"/>
    </w:rPr>
  </w:style>
  <w:style w:type="paragraph" w:customStyle="1" w:styleId="JuTitle">
    <w:name w:val="Ju_Title"/>
    <w:basedOn w:val="ECHRTitle1"/>
    <w:next w:val="ECHRPara"/>
    <w:link w:val="JuTitleChar"/>
    <w:rsid w:val="004A51F8"/>
    <w:pPr>
      <w:jc w:val="center"/>
    </w:pPr>
    <w:rPr>
      <w:rFonts w:ascii="Times New Roman" w:eastAsia="Times New Roman" w:hAnsi="Times New Roman" w:cs="Times New Roman"/>
      <w:b/>
      <w:caps/>
      <w:sz w:val="24"/>
      <w:szCs w:val="24"/>
      <w:u w:val="single"/>
      <w:lang w:val="fr-FR" w:eastAsia="fr-FR"/>
    </w:rPr>
  </w:style>
  <w:style w:type="character" w:customStyle="1" w:styleId="JuTitleChar">
    <w:name w:val="Ju_Title Char"/>
    <w:basedOn w:val="JuHHeadChar"/>
    <w:link w:val="JuTitle"/>
    <w:rsid w:val="004A51F8"/>
    <w:rPr>
      <w:rFonts w:ascii="Times New Roman" w:eastAsia="Times New Roman" w:hAnsi="Times New Roman" w:cs="Times New Roman"/>
      <w:b/>
      <w:caps/>
      <w:sz w:val="24"/>
      <w:szCs w:val="24"/>
      <w:u w:val="single"/>
      <w:lang w:val="fr-FR" w:eastAsia="fr-FR"/>
    </w:rPr>
  </w:style>
  <w:style w:type="character" w:customStyle="1" w:styleId="JuParaLastChar">
    <w:name w:val="Ju_Para_Last Char"/>
    <w:basedOn w:val="JuParaChar"/>
    <w:link w:val="JuParaLast"/>
    <w:rsid w:val="004A51F8"/>
    <w:rPr>
      <w:rFonts w:eastAsiaTheme="minorEastAsia"/>
      <w:sz w:val="24"/>
    </w:rPr>
  </w:style>
  <w:style w:type="paragraph" w:customStyle="1" w:styleId="s30eec3f8">
    <w:name w:val="s30eec3f8"/>
    <w:basedOn w:val="Normale"/>
    <w:rsid w:val="004A51F8"/>
    <w:pPr>
      <w:spacing w:before="100" w:beforeAutospacing="1" w:after="100" w:afterAutospacing="1"/>
      <w:jc w:val="left"/>
    </w:pPr>
    <w:rPr>
      <w:rFonts w:ascii="Times New Roman" w:eastAsia="Times New Roman" w:hAnsi="Times New Roman" w:cs="Times New Roman"/>
      <w:szCs w:val="24"/>
      <w:lang w:val="en-GB" w:eastAsia="en-GB"/>
    </w:rPr>
  </w:style>
  <w:style w:type="character" w:customStyle="1" w:styleId="s7d2086b4">
    <w:name w:val="s7d2086b4"/>
    <w:basedOn w:val="Carpredefinitoparagrafo"/>
    <w:rsid w:val="004A51F8"/>
  </w:style>
  <w:style w:type="character" w:customStyle="1" w:styleId="sfbbfee58">
    <w:name w:val="sfbbfee58"/>
    <w:basedOn w:val="Carpredefinitoparagrafo"/>
    <w:rsid w:val="00516DDD"/>
  </w:style>
  <w:style w:type="paragraph" w:customStyle="1" w:styleId="corpodeltestocitazione">
    <w:name w:val="corpodeltestocitazione"/>
    <w:basedOn w:val="Normale"/>
    <w:rsid w:val="007C7CDD"/>
    <w:rPr>
      <w:rFonts w:ascii="Times New Roman" w:eastAsia="Times New Roman" w:hAnsi="Times New Roman" w:cs="Times New Roman"/>
      <w:szCs w:val="24"/>
    </w:rPr>
  </w:style>
  <w:style w:type="character" w:customStyle="1" w:styleId="s1a844bc0">
    <w:name w:val="s1a844bc0"/>
    <w:basedOn w:val="Carpredefinitoparagrafo"/>
    <w:rsid w:val="00BA0FB9"/>
  </w:style>
  <w:style w:type="paragraph" w:styleId="Revisione">
    <w:name w:val="Revision"/>
    <w:hidden/>
    <w:uiPriority w:val="99"/>
    <w:semiHidden/>
    <w:rsid w:val="00E22BF2"/>
    <w:rPr>
      <w:rFonts w:eastAsiaTheme="minorEastAsia"/>
      <w:sz w:val="24"/>
    </w:rPr>
  </w:style>
  <w:style w:type="character" w:customStyle="1" w:styleId="sf1c7242d">
    <w:name w:val="sf1c7242d"/>
    <w:basedOn w:val="Carpredefinitoparagrafo"/>
    <w:rsid w:val="007D4D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footnote text" w:uiPriority="0"/>
    <w:lsdException w:name="annotation text" w:uiPriority="0"/>
    <w:lsdException w:name="header" w:uiPriority="0"/>
    <w:lsdException w:name="footer" w:uiPriority="0"/>
    <w:lsdException w:name="caption" w:qFormat="1"/>
    <w:lsdException w:name="annotation reference" w:uiPriority="0"/>
    <w:lsdException w:name="page number" w:uiPriority="0"/>
    <w:lsdException w:name="endnote reference" w:uiPriority="0"/>
    <w:lsdException w:name="endnote text" w:uiPriority="0"/>
    <w:lsdException w:name="List Bullet" w:uiPriority="0"/>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C63990"/>
    <w:pPr>
      <w:jc w:val="both"/>
    </w:pPr>
    <w:rPr>
      <w:rFonts w:eastAsiaTheme="minorEastAsia"/>
      <w:sz w:val="24"/>
    </w:rPr>
  </w:style>
  <w:style w:type="paragraph" w:styleId="Titolo1">
    <w:name w:val="heading 1"/>
    <w:basedOn w:val="Normale"/>
    <w:next w:val="Normale"/>
    <w:link w:val="Titolo1Carattere"/>
    <w:qFormat/>
    <w:rsid w:val="00941747"/>
    <w:pPr>
      <w:numPr>
        <w:numId w:val="3"/>
      </w:numPr>
      <w:spacing w:before="480"/>
      <w:contextualSpacing/>
      <w:jc w:val="left"/>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qFormat/>
    <w:rsid w:val="00941747"/>
    <w:pPr>
      <w:numPr>
        <w:ilvl w:val="1"/>
        <w:numId w:val="3"/>
      </w:numPr>
      <w:spacing w:before="200"/>
      <w:jc w:val="left"/>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qFormat/>
    <w:rsid w:val="00941747"/>
    <w:pPr>
      <w:numPr>
        <w:ilvl w:val="2"/>
        <w:numId w:val="3"/>
      </w:numPr>
      <w:spacing w:before="200" w:line="271" w:lineRule="auto"/>
      <w:jc w:val="left"/>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qFormat/>
    <w:rsid w:val="00941747"/>
    <w:pPr>
      <w:numPr>
        <w:ilvl w:val="3"/>
        <w:numId w:val="3"/>
      </w:numPr>
      <w:spacing w:before="200"/>
      <w:jc w:val="left"/>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qFormat/>
    <w:rsid w:val="00E77CB3"/>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qFormat/>
    <w:rsid w:val="00941747"/>
    <w:pPr>
      <w:numPr>
        <w:ilvl w:val="5"/>
        <w:numId w:val="3"/>
      </w:numPr>
      <w:spacing w:line="271" w:lineRule="auto"/>
      <w:jc w:val="left"/>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qFormat/>
    <w:rsid w:val="00E77CB3"/>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qFormat/>
    <w:rsid w:val="00E77CB3"/>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qFormat/>
    <w:rsid w:val="00E77CB3"/>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semiHidden/>
    <w:rsid w:val="009417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671F8"/>
    <w:rPr>
      <w:rFonts w:ascii="Tahoma" w:eastAsiaTheme="minorEastAsia" w:hAnsi="Tahoma" w:cs="Tahoma"/>
      <w:sz w:val="16"/>
      <w:szCs w:val="16"/>
    </w:rPr>
  </w:style>
  <w:style w:type="character" w:styleId="Titolodellibro">
    <w:name w:val="Book Title"/>
    <w:uiPriority w:val="99"/>
    <w:semiHidden/>
    <w:qFormat/>
    <w:rsid w:val="00E77CB3"/>
    <w:rPr>
      <w:i/>
      <w:iCs/>
      <w:smallCaps/>
      <w:spacing w:val="5"/>
    </w:rPr>
  </w:style>
  <w:style w:type="paragraph" w:customStyle="1" w:styleId="ECHRHeader">
    <w:name w:val="ECHR_Header"/>
    <w:aliases w:val="Ju_Header"/>
    <w:basedOn w:val="Intestazione"/>
    <w:qFormat/>
    <w:rsid w:val="00E77CB3"/>
    <w:pPr>
      <w:tabs>
        <w:tab w:val="clear" w:pos="4536"/>
        <w:tab w:val="clear" w:pos="9696"/>
        <w:tab w:val="center" w:pos="3686"/>
        <w:tab w:val="right" w:pos="7371"/>
      </w:tabs>
      <w:ind w:left="0" w:right="0"/>
      <w:jc w:val="left"/>
    </w:pPr>
    <w:rPr>
      <w:rFonts w:eastAsiaTheme="minorHAnsi"/>
      <w:sz w:val="18"/>
    </w:rPr>
  </w:style>
  <w:style w:type="paragraph" w:customStyle="1" w:styleId="OpiPara">
    <w:name w:val="Opi_Para"/>
    <w:basedOn w:val="Normale"/>
    <w:qFormat/>
    <w:rsid w:val="00C63990"/>
    <w:pPr>
      <w:ind w:firstLine="284"/>
    </w:pPr>
  </w:style>
  <w:style w:type="character" w:styleId="Enfasigrassetto">
    <w:name w:val="Strong"/>
    <w:uiPriority w:val="22"/>
    <w:qFormat/>
    <w:rsid w:val="00E77CB3"/>
    <w:rPr>
      <w:b/>
      <w:bCs/>
    </w:rPr>
  </w:style>
  <w:style w:type="paragraph" w:styleId="Nessunaspaziatura">
    <w:name w:val="No Spacing"/>
    <w:basedOn w:val="Normale"/>
    <w:link w:val="NessunaspaziaturaCarattere"/>
    <w:semiHidden/>
    <w:qFormat/>
    <w:rsid w:val="00E77CB3"/>
    <w:rPr>
      <w:sz w:val="22"/>
    </w:rPr>
  </w:style>
  <w:style w:type="character" w:customStyle="1" w:styleId="NessunaspaziaturaCarattere">
    <w:name w:val="Nessuna spaziatura Carattere"/>
    <w:basedOn w:val="Carpredefinitoparagrafo"/>
    <w:link w:val="Nessunaspaziatura"/>
    <w:semiHidden/>
    <w:rsid w:val="00E77CB3"/>
    <w:rPr>
      <w:rFonts w:eastAsiaTheme="minorEastAsia"/>
    </w:rPr>
  </w:style>
  <w:style w:type="paragraph" w:customStyle="1" w:styleId="JuParaSub">
    <w:name w:val="Ju_Para_Sub"/>
    <w:basedOn w:val="Normale"/>
    <w:qFormat/>
    <w:rsid w:val="00C63990"/>
    <w:pPr>
      <w:ind w:left="284" w:firstLine="284"/>
    </w:pPr>
  </w:style>
  <w:style w:type="paragraph" w:customStyle="1" w:styleId="OpiParaSub">
    <w:name w:val="Opi_Para_Sub"/>
    <w:basedOn w:val="JuParaSub"/>
    <w:qFormat/>
    <w:rsid w:val="00E77CB3"/>
  </w:style>
  <w:style w:type="paragraph" w:customStyle="1" w:styleId="OpiQuot">
    <w:name w:val="Opi_Quot"/>
    <w:basedOn w:val="ECHRParaQuote"/>
    <w:qFormat/>
    <w:rsid w:val="00E77CB3"/>
  </w:style>
  <w:style w:type="paragraph" w:customStyle="1" w:styleId="OpiQuotSub">
    <w:name w:val="Opi_Quot_Sub"/>
    <w:basedOn w:val="JuQuotSub"/>
    <w:qFormat/>
    <w:rsid w:val="00E77CB3"/>
  </w:style>
  <w:style w:type="paragraph" w:customStyle="1" w:styleId="ECHRTitleCentre3">
    <w:name w:val="ECHR_Title_Centre_3"/>
    <w:aliases w:val="Ju_H_Article"/>
    <w:basedOn w:val="Normale"/>
    <w:next w:val="ECHRParaQuote"/>
    <w:qFormat/>
    <w:rsid w:val="00E77CB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qFormat/>
    <w:rsid w:val="00E77CB3"/>
    <w:pPr>
      <w:keepNext/>
      <w:keepLines/>
      <w:spacing w:after="240"/>
      <w:jc w:val="center"/>
      <w:outlineLvl w:val="0"/>
    </w:pPr>
    <w:rPr>
      <w:rFonts w:asciiTheme="majorHAnsi" w:hAnsiTheme="majorHAnsi"/>
      <w:sz w:val="28"/>
    </w:rPr>
  </w:style>
  <w:style w:type="paragraph" w:customStyle="1" w:styleId="JuQuotSub">
    <w:name w:val="Ju_Quot_Sub"/>
    <w:basedOn w:val="ECHRParaQuote"/>
    <w:qFormat/>
    <w:rsid w:val="00E77CB3"/>
    <w:pPr>
      <w:ind w:left="567"/>
    </w:pPr>
  </w:style>
  <w:style w:type="paragraph" w:customStyle="1" w:styleId="JuInitialled">
    <w:name w:val="Ju_Initialled"/>
    <w:basedOn w:val="Normale"/>
    <w:qFormat/>
    <w:rsid w:val="00E77CB3"/>
    <w:pPr>
      <w:tabs>
        <w:tab w:val="center" w:pos="6407"/>
      </w:tabs>
      <w:spacing w:before="720"/>
      <w:jc w:val="right"/>
    </w:pPr>
  </w:style>
  <w:style w:type="paragraph" w:customStyle="1" w:styleId="OpiHA">
    <w:name w:val="Opi_H_A"/>
    <w:basedOn w:val="Normale"/>
    <w:next w:val="OpiPara"/>
    <w:qFormat/>
    <w:rsid w:val="00C63990"/>
    <w:pPr>
      <w:keepNext/>
      <w:keepLines/>
      <w:tabs>
        <w:tab w:val="left" w:pos="357"/>
      </w:tabs>
      <w:spacing w:before="360" w:after="240"/>
      <w:ind w:left="357" w:hanging="357"/>
      <w:outlineLvl w:val="1"/>
    </w:pPr>
    <w:rPr>
      <w:rFonts w:asciiTheme="majorHAnsi" w:eastAsiaTheme="majorEastAsia" w:hAnsiTheme="majorHAnsi" w:cstheme="majorBidi"/>
      <w:szCs w:val="28"/>
    </w:rPr>
  </w:style>
  <w:style w:type="character" w:customStyle="1" w:styleId="JUNAMES">
    <w:name w:val="JU_NAMES"/>
    <w:uiPriority w:val="17"/>
    <w:qFormat/>
    <w:rsid w:val="00E77CB3"/>
    <w:rPr>
      <w:caps w:val="0"/>
      <w:smallCaps/>
    </w:rPr>
  </w:style>
  <w:style w:type="paragraph" w:customStyle="1" w:styleId="OpiTranslation">
    <w:name w:val="Opi_Translation"/>
    <w:basedOn w:val="Normale"/>
    <w:next w:val="OpiPara"/>
    <w:qFormat/>
    <w:rsid w:val="00E77CB3"/>
    <w:pPr>
      <w:jc w:val="center"/>
      <w:outlineLvl w:val="0"/>
    </w:pPr>
    <w:rPr>
      <w:i/>
    </w:rPr>
  </w:style>
  <w:style w:type="paragraph" w:styleId="Titolo">
    <w:name w:val="Title"/>
    <w:basedOn w:val="Normale"/>
    <w:next w:val="Normale"/>
    <w:link w:val="TitoloCarattere"/>
    <w:uiPriority w:val="99"/>
    <w:semiHidden/>
    <w:qFormat/>
    <w:rsid w:val="00E77CB3"/>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77CB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Normale"/>
    <w:uiPriority w:val="21"/>
    <w:qFormat/>
    <w:rsid w:val="00E77CB3"/>
    <w:pPr>
      <w:keepNext/>
      <w:keepLines/>
      <w:numPr>
        <w:ilvl w:val="0"/>
        <w:numId w:val="0"/>
      </w:numPr>
      <w:tabs>
        <w:tab w:val="left" w:pos="731"/>
      </w:tabs>
      <w:spacing w:before="240" w:after="120" w:line="240" w:lineRule="auto"/>
      <w:ind w:left="732" w:hanging="301"/>
      <w:jc w:val="both"/>
    </w:pPr>
    <w:rPr>
      <w:b w:val="0"/>
      <w:i/>
      <w:color w:val="auto"/>
    </w:rPr>
  </w:style>
  <w:style w:type="paragraph" w:customStyle="1" w:styleId="ECHRHeading4">
    <w:name w:val="ECHR_Heading_4"/>
    <w:aliases w:val="Ju_H_a"/>
    <w:basedOn w:val="Titolo4"/>
    <w:next w:val="Normale"/>
    <w:link w:val="JuHaChar"/>
    <w:qFormat/>
    <w:rsid w:val="00E77CB3"/>
    <w:pPr>
      <w:keepNext/>
      <w:keepLines/>
      <w:numPr>
        <w:ilvl w:val="0"/>
        <w:numId w:val="0"/>
      </w:numPr>
      <w:tabs>
        <w:tab w:val="left" w:pos="975"/>
      </w:tabs>
      <w:spacing w:before="240" w:after="120"/>
      <w:ind w:left="975" w:hanging="340"/>
      <w:jc w:val="both"/>
    </w:pPr>
    <w:rPr>
      <w:i w:val="0"/>
      <w:color w:val="auto"/>
      <w:sz w:val="20"/>
    </w:rPr>
  </w:style>
  <w:style w:type="paragraph" w:customStyle="1" w:styleId="ECHRHeading5">
    <w:name w:val="ECHR_Heading_5"/>
    <w:aliases w:val="Ju_H_i"/>
    <w:basedOn w:val="Titolo5"/>
    <w:next w:val="Normale"/>
    <w:link w:val="JuHiChar"/>
    <w:qFormat/>
    <w:rsid w:val="00E77CB3"/>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Titolo6"/>
    <w:next w:val="Normale"/>
    <w:qFormat/>
    <w:rsid w:val="00E77CB3"/>
    <w:pPr>
      <w:keepNext/>
      <w:keepLines/>
      <w:numPr>
        <w:ilvl w:val="0"/>
        <w:numId w:val="0"/>
      </w:numPr>
      <w:tabs>
        <w:tab w:val="left" w:pos="1372"/>
      </w:tabs>
      <w:spacing w:before="240" w:after="120" w:line="240" w:lineRule="auto"/>
      <w:ind w:left="1373" w:hanging="335"/>
      <w:jc w:val="both"/>
    </w:pPr>
    <w:rPr>
      <w:b w:val="0"/>
      <w:color w:val="auto"/>
      <w:sz w:val="20"/>
    </w:rPr>
  </w:style>
  <w:style w:type="paragraph" w:customStyle="1" w:styleId="ECHRHeading7">
    <w:name w:val="ECHR_Heading_7"/>
    <w:aliases w:val="Ju_H_–"/>
    <w:basedOn w:val="Titolo7"/>
    <w:next w:val="Normale"/>
    <w:qFormat/>
    <w:rsid w:val="00E77CB3"/>
    <w:pPr>
      <w:keepNext/>
      <w:keepLines/>
      <w:spacing w:before="240" w:after="120"/>
      <w:ind w:left="1236"/>
    </w:pPr>
    <w:rPr>
      <w:sz w:val="20"/>
    </w:rPr>
  </w:style>
  <w:style w:type="paragraph" w:customStyle="1" w:styleId="OpiH1">
    <w:name w:val="Opi_H_1"/>
    <w:basedOn w:val="ECHRHeading2"/>
    <w:uiPriority w:val="42"/>
    <w:qFormat/>
    <w:rsid w:val="00E77CB3"/>
    <w:pPr>
      <w:ind w:left="635" w:hanging="357"/>
      <w:outlineLvl w:val="2"/>
    </w:pPr>
  </w:style>
  <w:style w:type="paragraph" w:customStyle="1" w:styleId="OpiHa0">
    <w:name w:val="Opi_H_a"/>
    <w:basedOn w:val="ECHRHeading3"/>
    <w:qFormat/>
    <w:rsid w:val="00E77CB3"/>
    <w:pPr>
      <w:ind w:left="833" w:hanging="357"/>
      <w:outlineLvl w:val="3"/>
    </w:pPr>
    <w:rPr>
      <w:b/>
      <w:i w:val="0"/>
      <w:sz w:val="20"/>
    </w:rPr>
  </w:style>
  <w:style w:type="paragraph" w:customStyle="1" w:styleId="OpiHi">
    <w:name w:val="Opi_H_i"/>
    <w:basedOn w:val="ECHRHeading4"/>
    <w:qFormat/>
    <w:rsid w:val="00E77CB3"/>
    <w:pPr>
      <w:ind w:left="1037" w:hanging="357"/>
      <w:outlineLvl w:val="4"/>
    </w:pPr>
    <w:rPr>
      <w:b w:val="0"/>
      <w:i/>
    </w:rPr>
  </w:style>
  <w:style w:type="paragraph" w:styleId="Intestazione">
    <w:name w:val="header"/>
    <w:basedOn w:val="Normale"/>
    <w:link w:val="IntestazioneCarattere"/>
    <w:rsid w:val="00941747"/>
    <w:pPr>
      <w:tabs>
        <w:tab w:val="center" w:pos="4536"/>
        <w:tab w:val="right" w:pos="9696"/>
      </w:tabs>
      <w:ind w:left="-680" w:right="-680"/>
    </w:pPr>
  </w:style>
  <w:style w:type="character" w:customStyle="1" w:styleId="IntestazioneCarattere">
    <w:name w:val="Intestazione Carattere"/>
    <w:basedOn w:val="Carpredefinitoparagrafo"/>
    <w:link w:val="Intestazione"/>
    <w:uiPriority w:val="57"/>
    <w:semiHidden/>
    <w:rsid w:val="008D4752"/>
  </w:style>
  <w:style w:type="character" w:customStyle="1" w:styleId="Titolo1Carattere">
    <w:name w:val="Titolo 1 Carattere"/>
    <w:basedOn w:val="Carpredefinitoparagrafo"/>
    <w:link w:val="Titolo1"/>
    <w:uiPriority w:val="99"/>
    <w:semiHidden/>
    <w:rsid w:val="00A671F8"/>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qFormat/>
    <w:rsid w:val="00C63990"/>
    <w:pPr>
      <w:keepNext/>
      <w:keepLines/>
      <w:numPr>
        <w:numId w:val="0"/>
      </w:numPr>
      <w:tabs>
        <w:tab w:val="left" w:pos="357"/>
      </w:tabs>
      <w:spacing w:before="360" w:after="240"/>
      <w:ind w:left="357" w:hanging="357"/>
      <w:contextualSpacing w:val="0"/>
      <w:jc w:val="both"/>
    </w:pPr>
    <w:rPr>
      <w:b w:val="0"/>
      <w:color w:val="auto"/>
      <w:sz w:val="24"/>
    </w:rPr>
  </w:style>
  <w:style w:type="paragraph" w:customStyle="1" w:styleId="ECHRHeading2">
    <w:name w:val="ECHR_Heading_2"/>
    <w:aliases w:val="Ju_H_A,Head_2"/>
    <w:basedOn w:val="Titolo2"/>
    <w:next w:val="Normale"/>
    <w:link w:val="JuHAChar0"/>
    <w:qFormat/>
    <w:rsid w:val="00E77CB3"/>
    <w:pPr>
      <w:keepNext/>
      <w:keepLines/>
      <w:numPr>
        <w:ilvl w:val="0"/>
        <w:numId w:val="0"/>
      </w:numPr>
      <w:tabs>
        <w:tab w:val="left" w:pos="584"/>
      </w:tabs>
      <w:spacing w:before="360" w:after="240"/>
      <w:ind w:left="584" w:hanging="352"/>
      <w:jc w:val="both"/>
    </w:pPr>
    <w:rPr>
      <w:color w:val="auto"/>
      <w:sz w:val="24"/>
    </w:rPr>
  </w:style>
  <w:style w:type="character" w:customStyle="1" w:styleId="Titolo2Carattere">
    <w:name w:val="Titolo 2 Carattere"/>
    <w:basedOn w:val="Carpredefinitoparagrafo"/>
    <w:link w:val="Titolo2"/>
    <w:uiPriority w:val="99"/>
    <w:semiHidden/>
    <w:rsid w:val="00A671F8"/>
    <w:rPr>
      <w:rFonts w:asciiTheme="majorHAnsi" w:eastAsiaTheme="majorEastAsia" w:hAnsiTheme="majorHAnsi" w:cstheme="majorBidi"/>
      <w:b/>
      <w:bCs/>
      <w:color w:val="4D4D4D"/>
      <w:sz w:val="26"/>
      <w:szCs w:val="26"/>
    </w:rPr>
  </w:style>
  <w:style w:type="paragraph" w:customStyle="1" w:styleId="DummyStyle">
    <w:name w:val="Dummy_Style"/>
    <w:basedOn w:val="Normale"/>
    <w:semiHidden/>
    <w:qFormat/>
    <w:rsid w:val="00E77CB3"/>
    <w:rPr>
      <w:color w:val="00B050"/>
    </w:rPr>
  </w:style>
  <w:style w:type="paragraph" w:customStyle="1" w:styleId="ECHRDecisionBody">
    <w:name w:val="ECHR_Decision_Body"/>
    <w:aliases w:val="Ju_Judges"/>
    <w:basedOn w:val="Normale"/>
    <w:qFormat/>
    <w:rsid w:val="00C63990"/>
    <w:pPr>
      <w:tabs>
        <w:tab w:val="left" w:pos="567"/>
        <w:tab w:val="left" w:pos="1134"/>
      </w:tabs>
      <w:jc w:val="left"/>
    </w:pPr>
  </w:style>
  <w:style w:type="character" w:customStyle="1" w:styleId="Titolo3Carattere">
    <w:name w:val="Titolo 3 Carattere"/>
    <w:basedOn w:val="Carpredefinitoparagrafo"/>
    <w:link w:val="Titolo3"/>
    <w:uiPriority w:val="99"/>
    <w:semiHidden/>
    <w:rsid w:val="00A671F8"/>
    <w:rPr>
      <w:rFonts w:asciiTheme="majorHAnsi" w:eastAsiaTheme="majorEastAsia" w:hAnsiTheme="majorHAnsi" w:cstheme="majorBidi"/>
      <w:b/>
      <w:bCs/>
      <w:color w:val="5F5F5F"/>
      <w:sz w:val="24"/>
    </w:rPr>
  </w:style>
  <w:style w:type="paragraph" w:customStyle="1" w:styleId="ECHRPara">
    <w:name w:val="ECHR_Para"/>
    <w:aliases w:val="Ju_Para,Left,First line:  0 cm,Para"/>
    <w:basedOn w:val="Normale"/>
    <w:link w:val="JuParaChar"/>
    <w:uiPriority w:val="12"/>
    <w:qFormat/>
    <w:rsid w:val="00C63990"/>
    <w:pPr>
      <w:ind w:firstLine="284"/>
    </w:pPr>
  </w:style>
  <w:style w:type="character" w:customStyle="1" w:styleId="Titolo4Carattere">
    <w:name w:val="Titolo 4 Carattere"/>
    <w:basedOn w:val="Carpredefinitoparagrafo"/>
    <w:link w:val="Titolo4"/>
    <w:uiPriority w:val="99"/>
    <w:semiHidden/>
    <w:rsid w:val="00A671F8"/>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E77CB3"/>
    <w:rPr>
      <w:rFonts w:asciiTheme="majorHAnsi" w:eastAsiaTheme="majorEastAsia" w:hAnsiTheme="majorHAnsi" w:cstheme="majorBidi"/>
      <w:b/>
      <w:bCs/>
      <w:color w:val="808080"/>
    </w:rPr>
  </w:style>
  <w:style w:type="character" w:styleId="Enfasidelicata">
    <w:name w:val="Subtle Emphasis"/>
    <w:uiPriority w:val="99"/>
    <w:semiHidden/>
    <w:qFormat/>
    <w:rsid w:val="00E77CB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Title_L_1"/>
    <w:basedOn w:val="Normale"/>
    <w:next w:val="Normale"/>
    <w:link w:val="JuHHeadChar"/>
    <w:qFormat/>
    <w:rsid w:val="00E77CB3"/>
    <w:pPr>
      <w:keepNext/>
      <w:keepLines/>
      <w:spacing w:before="720" w:after="240"/>
      <w:outlineLvl w:val="0"/>
    </w:pPr>
    <w:rPr>
      <w:rFonts w:asciiTheme="majorHAnsi" w:hAnsiTheme="majorHAnsi"/>
      <w:sz w:val="28"/>
    </w:rPr>
  </w:style>
  <w:style w:type="character" w:styleId="Enfasicorsivo">
    <w:name w:val="Emphasis"/>
    <w:qFormat/>
    <w:rsid w:val="00E77CB3"/>
    <w:rPr>
      <w:b/>
      <w:bCs/>
      <w:i/>
      <w:iCs/>
      <w:spacing w:val="10"/>
      <w:bdr w:val="none" w:sz="0" w:space="0" w:color="auto"/>
      <w:shd w:val="clear" w:color="auto" w:fill="auto"/>
    </w:rPr>
  </w:style>
  <w:style w:type="paragraph" w:styleId="Pidipagina">
    <w:name w:val="footer"/>
    <w:basedOn w:val="Normale"/>
    <w:link w:val="PidipaginaCarattere"/>
    <w:rsid w:val="00941747"/>
    <w:pPr>
      <w:tabs>
        <w:tab w:val="center" w:pos="4536"/>
        <w:tab w:val="right" w:pos="9696"/>
      </w:tabs>
      <w:ind w:left="-680" w:right="-680"/>
    </w:pPr>
  </w:style>
  <w:style w:type="character" w:customStyle="1" w:styleId="PidipaginaCarattere">
    <w:name w:val="Piè di pagina Carattere"/>
    <w:basedOn w:val="Carpredefinitoparagrafo"/>
    <w:link w:val="Pidipagina"/>
    <w:uiPriority w:val="57"/>
    <w:semiHidden/>
    <w:rsid w:val="008D4752"/>
  </w:style>
  <w:style w:type="character" w:styleId="Rimandonotaapidipagina">
    <w:name w:val="footnote reference"/>
    <w:aliases w:val="callout,Footnotes refss"/>
    <w:basedOn w:val="Carpredefinitoparagrafo"/>
    <w:uiPriority w:val="99"/>
    <w:semiHidden/>
    <w:rsid w:val="00941747"/>
    <w:rPr>
      <w:vertAlign w:val="superscript"/>
    </w:rPr>
  </w:style>
  <w:style w:type="paragraph" w:styleId="Testonotaapidipagina">
    <w:name w:val="footnote text"/>
    <w:basedOn w:val="Normale"/>
    <w:link w:val="TestonotaapidipaginaCarattere"/>
    <w:semiHidden/>
    <w:rsid w:val="00941747"/>
    <w:rPr>
      <w:sz w:val="20"/>
      <w:szCs w:val="20"/>
    </w:rPr>
  </w:style>
  <w:style w:type="character" w:customStyle="1" w:styleId="TestonotaapidipaginaCarattere">
    <w:name w:val="Testo nota a piè di pagina Carattere"/>
    <w:basedOn w:val="Carpredefinitoparagrafo"/>
    <w:link w:val="Testonotaapidipagina"/>
    <w:uiPriority w:val="99"/>
    <w:semiHidden/>
    <w:rsid w:val="00A671F8"/>
    <w:rPr>
      <w:rFonts w:eastAsiaTheme="minorEastAsia"/>
      <w:sz w:val="20"/>
      <w:szCs w:val="20"/>
    </w:rPr>
  </w:style>
  <w:style w:type="character" w:customStyle="1" w:styleId="Titolo6Carattere">
    <w:name w:val="Titolo 6 Carattere"/>
    <w:basedOn w:val="Carpredefinitoparagrafo"/>
    <w:link w:val="Titolo6"/>
    <w:uiPriority w:val="99"/>
    <w:semiHidden/>
    <w:rsid w:val="00A671F8"/>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E77CB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E77CB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77CB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rsid w:val="00941747"/>
    <w:rPr>
      <w:color w:val="0072BC" w:themeColor="hyperlink"/>
      <w:u w:val="single"/>
    </w:rPr>
  </w:style>
  <w:style w:type="character" w:styleId="Enfasiintensa">
    <w:name w:val="Intense Emphasis"/>
    <w:uiPriority w:val="99"/>
    <w:semiHidden/>
    <w:qFormat/>
    <w:rsid w:val="00E77CB3"/>
    <w:rPr>
      <w:b/>
      <w:bCs/>
    </w:rPr>
  </w:style>
  <w:style w:type="paragraph" w:styleId="Citazioneintensa">
    <w:name w:val="Intense Quote"/>
    <w:basedOn w:val="Normale"/>
    <w:next w:val="Normale"/>
    <w:link w:val="CitazioneintensaCarattere"/>
    <w:uiPriority w:val="99"/>
    <w:semiHidden/>
    <w:qFormat/>
    <w:rsid w:val="00E77CB3"/>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77CB3"/>
    <w:rPr>
      <w:rFonts w:eastAsiaTheme="minorEastAsia"/>
      <w:b/>
      <w:bCs/>
      <w:i/>
      <w:iCs/>
      <w:lang w:bidi="en-US"/>
    </w:rPr>
  </w:style>
  <w:style w:type="character" w:styleId="Riferimentointenso">
    <w:name w:val="Intense Reference"/>
    <w:uiPriority w:val="99"/>
    <w:semiHidden/>
    <w:qFormat/>
    <w:rsid w:val="00E77CB3"/>
    <w:rPr>
      <w:smallCaps/>
      <w:spacing w:val="5"/>
      <w:u w:val="single"/>
    </w:rPr>
  </w:style>
  <w:style w:type="paragraph" w:styleId="Paragrafoelenco">
    <w:name w:val="List Paragraph"/>
    <w:basedOn w:val="Normale"/>
    <w:uiPriority w:val="99"/>
    <w:semiHidden/>
    <w:qFormat/>
    <w:rsid w:val="00E77CB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E77CB3"/>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77CB3"/>
    <w:rPr>
      <w:rFonts w:eastAsiaTheme="minorEastAsia"/>
      <w:i/>
      <w:iCs/>
      <w:lang w:bidi="en-US"/>
    </w:rPr>
  </w:style>
  <w:style w:type="character" w:styleId="Riferimentodelicato">
    <w:name w:val="Subtle Reference"/>
    <w:uiPriority w:val="99"/>
    <w:semiHidden/>
    <w:qFormat/>
    <w:rsid w:val="00E77CB3"/>
    <w:rPr>
      <w:smallCaps/>
    </w:rPr>
  </w:style>
  <w:style w:type="table" w:styleId="Grigliatabella">
    <w:name w:val="Table Grid"/>
    <w:basedOn w:val="Tabellanormale"/>
    <w:rsid w:val="00941747"/>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EA185E"/>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EA185E"/>
    <w:pPr>
      <w:spacing w:after="60"/>
      <w:ind w:left="680" w:right="340" w:hanging="340"/>
    </w:pPr>
  </w:style>
  <w:style w:type="paragraph" w:styleId="Sommario3">
    <w:name w:val="toc 3"/>
    <w:basedOn w:val="Normale"/>
    <w:next w:val="Normale"/>
    <w:autoRedefine/>
    <w:uiPriority w:val="99"/>
    <w:semiHidden/>
    <w:rsid w:val="00EA185E"/>
    <w:pPr>
      <w:spacing w:after="60"/>
      <w:ind w:left="1020" w:right="340" w:hanging="340"/>
    </w:pPr>
  </w:style>
  <w:style w:type="paragraph" w:styleId="Sommario4">
    <w:name w:val="toc 4"/>
    <w:basedOn w:val="Normale"/>
    <w:next w:val="Normale"/>
    <w:autoRedefine/>
    <w:uiPriority w:val="99"/>
    <w:semiHidden/>
    <w:rsid w:val="00EA185E"/>
    <w:pPr>
      <w:tabs>
        <w:tab w:val="right" w:leader="dot" w:pos="9017"/>
      </w:tabs>
      <w:spacing w:after="60"/>
      <w:ind w:left="1361" w:right="340" w:hanging="340"/>
    </w:pPr>
  </w:style>
  <w:style w:type="paragraph" w:styleId="Sommario5">
    <w:name w:val="toc 5"/>
    <w:basedOn w:val="Normale"/>
    <w:next w:val="Normale"/>
    <w:autoRedefine/>
    <w:uiPriority w:val="99"/>
    <w:semiHidden/>
    <w:rsid w:val="00B46543"/>
    <w:pPr>
      <w:spacing w:after="60"/>
      <w:ind w:left="1701" w:right="340" w:hanging="340"/>
    </w:pPr>
  </w:style>
  <w:style w:type="paragraph" w:styleId="Titolosommario">
    <w:name w:val="TOC Heading"/>
    <w:basedOn w:val="Titolo1"/>
    <w:next w:val="Normale"/>
    <w:uiPriority w:val="99"/>
    <w:semiHidden/>
    <w:qFormat/>
    <w:rsid w:val="00E77CB3"/>
    <w:pPr>
      <w:numPr>
        <w:numId w:val="0"/>
      </w:numPr>
      <w:jc w:val="both"/>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C333A0"/>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Para_Quote"/>
    <w:basedOn w:val="Normale"/>
    <w:link w:val="JuQuotChar"/>
    <w:uiPriority w:val="14"/>
    <w:qFormat/>
    <w:rsid w:val="00E77CB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520BAA"/>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qFormat/>
    <w:rsid w:val="00E77CB3"/>
    <w:pPr>
      <w:tabs>
        <w:tab w:val="center" w:pos="851"/>
        <w:tab w:val="center" w:pos="6407"/>
      </w:tabs>
      <w:spacing w:before="720"/>
      <w:jc w:val="left"/>
    </w:pPr>
  </w:style>
  <w:style w:type="paragraph" w:customStyle="1" w:styleId="JuParaLast">
    <w:name w:val="Ju_Para_Last"/>
    <w:basedOn w:val="Normale"/>
    <w:next w:val="Normale"/>
    <w:link w:val="JuParaLastChar"/>
    <w:qFormat/>
    <w:rsid w:val="00E77CB3"/>
    <w:pPr>
      <w:keepNext/>
      <w:keepLines/>
      <w:spacing w:before="240"/>
      <w:ind w:firstLine="284"/>
    </w:pPr>
  </w:style>
  <w:style w:type="paragraph" w:customStyle="1" w:styleId="JuCase">
    <w:name w:val="Ju_Case"/>
    <w:basedOn w:val="Normale"/>
    <w:next w:val="Normale"/>
    <w:rsid w:val="00E77CB3"/>
    <w:pPr>
      <w:ind w:firstLine="284"/>
    </w:pPr>
    <w:rPr>
      <w:b/>
    </w:rPr>
  </w:style>
  <w:style w:type="paragraph" w:customStyle="1" w:styleId="JuList">
    <w:name w:val="Ju_List"/>
    <w:basedOn w:val="Normale"/>
    <w:qFormat/>
    <w:rsid w:val="00E77CB3"/>
    <w:pPr>
      <w:ind w:left="340" w:hanging="340"/>
    </w:pPr>
  </w:style>
  <w:style w:type="paragraph" w:customStyle="1" w:styleId="JuCourt">
    <w:name w:val="Ju_Court"/>
    <w:basedOn w:val="Normale"/>
    <w:next w:val="Normale"/>
    <w:qFormat/>
    <w:rsid w:val="00E77CB3"/>
    <w:pPr>
      <w:tabs>
        <w:tab w:val="left" w:pos="907"/>
        <w:tab w:val="left" w:pos="1701"/>
        <w:tab w:val="right" w:pos="7371"/>
      </w:tabs>
      <w:spacing w:before="240"/>
      <w:ind w:left="397" w:hanging="397"/>
      <w:jc w:val="left"/>
    </w:pPr>
    <w:rPr>
      <w:lang w:bidi="en-US"/>
    </w:rPr>
  </w:style>
  <w:style w:type="character" w:styleId="Numeropagina">
    <w:name w:val="page number"/>
    <w:rsid w:val="00E77CB3"/>
    <w:rPr>
      <w:rFonts w:ascii="Times New Roman" w:hAnsi="Times New Roman" w:cs="Times New Roman"/>
      <w:sz w:val="18"/>
    </w:rPr>
  </w:style>
  <w:style w:type="paragraph" w:customStyle="1" w:styleId="JuLista">
    <w:name w:val="Ju_List_a"/>
    <w:basedOn w:val="JuList"/>
    <w:qFormat/>
    <w:rsid w:val="00E77CB3"/>
    <w:pPr>
      <w:ind w:left="346" w:firstLine="0"/>
    </w:pPr>
  </w:style>
  <w:style w:type="paragraph" w:customStyle="1" w:styleId="JuListi">
    <w:name w:val="Ju_List_i"/>
    <w:basedOn w:val="Normale"/>
    <w:next w:val="JuLista"/>
    <w:qFormat/>
    <w:rsid w:val="00E77CB3"/>
    <w:pPr>
      <w:ind w:left="794"/>
    </w:pPr>
  </w:style>
  <w:style w:type="character" w:styleId="Rimandocommento">
    <w:name w:val="annotation reference"/>
    <w:semiHidden/>
    <w:rsid w:val="00E77CB3"/>
    <w:rPr>
      <w:sz w:val="16"/>
    </w:rPr>
  </w:style>
  <w:style w:type="paragraph" w:styleId="Testocommento">
    <w:name w:val="annotation text"/>
    <w:basedOn w:val="Normale"/>
    <w:link w:val="TestocommentoCarattere"/>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rsid w:val="00E77CB3"/>
    <w:rPr>
      <w:rFonts w:ascii="Times New Roman" w:hAnsi="Times New Roman" w:cs="Times New Roman"/>
      <w:color w:val="800080"/>
      <w:u w:val="single"/>
    </w:rPr>
  </w:style>
  <w:style w:type="paragraph" w:styleId="Puntoelenco">
    <w:name w:val="List Bullet"/>
    <w:basedOn w:val="Normale"/>
    <w:rsid w:val="00E77CB3"/>
    <w:pPr>
      <w:numPr>
        <w:numId w:val="1"/>
      </w:numPr>
    </w:pPr>
  </w:style>
  <w:style w:type="character" w:customStyle="1" w:styleId="JuNames0">
    <w:name w:val="Ju_Names"/>
    <w:rsid w:val="00E77CB3"/>
    <w:rPr>
      <w:rFonts w:ascii="Times New Roman" w:hAnsi="Times New Roman" w:cs="Times New Roman"/>
      <w:smallCaps/>
    </w:rPr>
  </w:style>
  <w:style w:type="paragraph" w:styleId="Soggettocommento">
    <w:name w:val="annotation subject"/>
    <w:basedOn w:val="Testocommento"/>
    <w:next w:val="Testocommento"/>
    <w:link w:val="SoggettocommentoCarattere"/>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qFormat/>
    <w:rsid w:val="00E77CB3"/>
    <w:rPr>
      <w:vanish/>
      <w:color w:val="339966"/>
      <w:sz w:val="14"/>
    </w:rPr>
  </w:style>
  <w:style w:type="paragraph" w:styleId="Sottotitolo">
    <w:name w:val="Subtitle"/>
    <w:basedOn w:val="Normale"/>
    <w:next w:val="Normale"/>
    <w:link w:val="SottotitoloCarattere"/>
    <w:uiPriority w:val="99"/>
    <w:semiHidden/>
    <w:qFormat/>
    <w:rsid w:val="00E77CB3"/>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77CB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E77CB3"/>
    <w:rPr>
      <w:color w:val="808080"/>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E77CB3"/>
    <w:pPr>
      <w:spacing w:after="100"/>
      <w:ind w:left="1200"/>
    </w:pPr>
  </w:style>
  <w:style w:type="paragraph" w:styleId="Sommario7">
    <w:name w:val="toc 7"/>
    <w:basedOn w:val="Normale"/>
    <w:next w:val="Normale"/>
    <w:autoRedefine/>
    <w:uiPriority w:val="99"/>
    <w:semiHidden/>
    <w:rsid w:val="00E77CB3"/>
    <w:pPr>
      <w:spacing w:after="100"/>
      <w:ind w:left="1440"/>
    </w:p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character" w:customStyle="1" w:styleId="JuParaChar">
    <w:name w:val="Ju_Para Char"/>
    <w:aliases w:val="ECHR_Para Char"/>
    <w:basedOn w:val="Carpredefinitoparagrafo"/>
    <w:link w:val="ECHRPara"/>
    <w:uiPriority w:val="12"/>
    <w:rsid w:val="00730D47"/>
    <w:rPr>
      <w:rFonts w:eastAsiaTheme="minorEastAsia"/>
      <w:sz w:val="24"/>
    </w:rPr>
  </w:style>
  <w:style w:type="character" w:customStyle="1" w:styleId="JuHaChar">
    <w:name w:val="Ju_H_a Char"/>
    <w:basedOn w:val="Carpredefinitoparagrafo"/>
    <w:link w:val="ECHRHeading4"/>
    <w:rsid w:val="00730D47"/>
    <w:rPr>
      <w:rFonts w:asciiTheme="majorHAnsi" w:eastAsiaTheme="majorEastAsia" w:hAnsiTheme="majorHAnsi" w:cstheme="majorBidi"/>
      <w:b/>
      <w:bCs/>
      <w:iCs/>
      <w:sz w:val="20"/>
    </w:rPr>
  </w:style>
  <w:style w:type="character" w:customStyle="1" w:styleId="JuHiChar">
    <w:name w:val="Ju_H_i Char"/>
    <w:basedOn w:val="JuHaChar"/>
    <w:link w:val="ECHRHeading5"/>
    <w:rsid w:val="00730D47"/>
    <w:rPr>
      <w:rFonts w:asciiTheme="majorHAnsi" w:eastAsiaTheme="majorEastAsia" w:hAnsiTheme="majorHAnsi" w:cstheme="majorBidi"/>
      <w:b w:val="0"/>
      <w:bCs/>
      <w:i/>
      <w:iCs w:val="0"/>
      <w:sz w:val="20"/>
    </w:rPr>
  </w:style>
  <w:style w:type="character" w:customStyle="1" w:styleId="JuQuotChar">
    <w:name w:val="Ju_Quot Char"/>
    <w:basedOn w:val="JuParaChar"/>
    <w:link w:val="ECHRParaQuote"/>
    <w:rsid w:val="00730D47"/>
    <w:rPr>
      <w:rFonts w:eastAsiaTheme="minorEastAsia"/>
      <w:sz w:val="20"/>
    </w:rPr>
  </w:style>
  <w:style w:type="character" w:customStyle="1" w:styleId="ju-005fpara-002cleft-002cfirst-0020line-003a-0020-00200-0020cm--char">
    <w:name w:val="ju-005fpara-002cleft-002cfirst-0020line-003a-0020-00200-0020cm--char"/>
    <w:basedOn w:val="Carpredefinitoparagrafo"/>
    <w:rsid w:val="00730D47"/>
  </w:style>
  <w:style w:type="character" w:customStyle="1" w:styleId="ju-005fpara--char">
    <w:name w:val="ju-005fpara--char"/>
    <w:basedOn w:val="Carpredefinitoparagrafo"/>
    <w:rsid w:val="00730D47"/>
  </w:style>
  <w:style w:type="character" w:customStyle="1" w:styleId="sb8d990e2">
    <w:name w:val="sb8d990e2"/>
    <w:basedOn w:val="Carpredefinitoparagrafo"/>
    <w:rsid w:val="00730D47"/>
  </w:style>
  <w:style w:type="character" w:customStyle="1" w:styleId="sea881cdfhasverticalalignsuper">
    <w:name w:val="sea881cdf hasverticalalignsuper"/>
    <w:basedOn w:val="Carpredefinitoparagrafo"/>
    <w:rsid w:val="00730D47"/>
  </w:style>
  <w:style w:type="paragraph" w:customStyle="1" w:styleId="JuQuotList">
    <w:name w:val="Ju_Quot_List"/>
    <w:basedOn w:val="ECHRParaQuote"/>
    <w:rsid w:val="00B13255"/>
    <w:pPr>
      <w:tabs>
        <w:tab w:val="left" w:pos="1021"/>
      </w:tabs>
      <w:ind w:left="567" w:firstLine="0"/>
    </w:pPr>
    <w:rPr>
      <w:rFonts w:ascii="Times New Roman" w:eastAsia="Times New Roman" w:hAnsi="Times New Roman" w:cs="Times New Roman"/>
      <w:szCs w:val="20"/>
      <w:lang w:val="fr-FR" w:eastAsia="fr-FR"/>
    </w:rPr>
  </w:style>
  <w:style w:type="character" w:customStyle="1" w:styleId="JuParaCar">
    <w:name w:val="Ju_Para Car"/>
    <w:uiPriority w:val="12"/>
    <w:rsid w:val="00922063"/>
    <w:rPr>
      <w:rFonts w:eastAsiaTheme="minorEastAsia"/>
      <w:sz w:val="24"/>
    </w:rPr>
  </w:style>
  <w:style w:type="character" w:customStyle="1" w:styleId="JuHAChar0">
    <w:name w:val="Ju_H_A Char"/>
    <w:link w:val="ECHRHeading2"/>
    <w:rsid w:val="00D26D31"/>
    <w:rPr>
      <w:rFonts w:asciiTheme="majorHAnsi" w:eastAsiaTheme="majorEastAsia" w:hAnsiTheme="majorHAnsi" w:cstheme="majorBidi"/>
      <w:b/>
      <w:bCs/>
      <w:sz w:val="24"/>
      <w:szCs w:val="26"/>
    </w:rPr>
  </w:style>
  <w:style w:type="character" w:customStyle="1" w:styleId="ju-005fh-005fa-0020char--char">
    <w:name w:val="ju-005fh-005fa-0020char--char"/>
    <w:basedOn w:val="Carpredefinitoparagrafo"/>
    <w:rsid w:val="00D26D31"/>
  </w:style>
  <w:style w:type="character" w:customStyle="1" w:styleId="ju-005fh-005f1-002e-0020char--char">
    <w:name w:val="ju-005fh-005f1-002e-0020char--char"/>
    <w:basedOn w:val="Carpredefinitoparagrafo"/>
    <w:rsid w:val="00D26D31"/>
  </w:style>
  <w:style w:type="character" w:customStyle="1" w:styleId="s6b621b36">
    <w:name w:val="s6b621b36"/>
    <w:basedOn w:val="Carpredefinitoparagrafo"/>
    <w:rsid w:val="00D437D5"/>
  </w:style>
  <w:style w:type="character" w:customStyle="1" w:styleId="wordhighlighted">
    <w:name w:val="wordhighlighted"/>
    <w:basedOn w:val="Carpredefinitoparagrafo"/>
    <w:rsid w:val="00D437D5"/>
  </w:style>
  <w:style w:type="character" w:customStyle="1" w:styleId="sea881cdf">
    <w:name w:val="sea881cdf"/>
    <w:basedOn w:val="Carpredefinitoparagrafo"/>
    <w:rsid w:val="00674842"/>
  </w:style>
  <w:style w:type="paragraph" w:customStyle="1" w:styleId="NormalTimesNewRoman">
    <w:name w:val="Normal_TimesNewRoman"/>
    <w:link w:val="NormalTimesNewRomanChar"/>
    <w:rsid w:val="004A51F8"/>
    <w:rPr>
      <w:rFonts w:ascii="Times New Roman" w:eastAsia="Times New Roman" w:hAnsi="Times New Roman" w:cs="Times New Roman"/>
      <w:sz w:val="24"/>
      <w:szCs w:val="20"/>
      <w:lang w:val="fr-FR" w:eastAsia="fr-FR"/>
    </w:rPr>
  </w:style>
  <w:style w:type="paragraph" w:customStyle="1" w:styleId="DecHTitle">
    <w:name w:val="Dec_H_Title"/>
    <w:basedOn w:val="NormalTimesNewRoman"/>
    <w:rsid w:val="004A51F8"/>
    <w:pPr>
      <w:spacing w:after="240"/>
      <w:jc w:val="center"/>
      <w:outlineLvl w:val="0"/>
    </w:pPr>
    <w:rPr>
      <w:sz w:val="28"/>
    </w:rPr>
  </w:style>
  <w:style w:type="paragraph" w:customStyle="1" w:styleId="DecHCase">
    <w:name w:val="Dec_H_Case"/>
    <w:basedOn w:val="DecHTitle"/>
    <w:next w:val="ECHRPara"/>
    <w:rsid w:val="004A51F8"/>
    <w:rPr>
      <w:sz w:val="24"/>
    </w:rPr>
  </w:style>
  <w:style w:type="paragraph" w:customStyle="1" w:styleId="DecList">
    <w:name w:val="Dec_List"/>
    <w:basedOn w:val="NormalTimesNewRoman"/>
    <w:rsid w:val="004A51F8"/>
    <w:pPr>
      <w:spacing w:before="240"/>
      <w:ind w:left="284"/>
      <w:jc w:val="both"/>
    </w:pPr>
  </w:style>
  <w:style w:type="paragraph" w:customStyle="1" w:styleId="OpiH10">
    <w:name w:val="Opi_H_1."/>
    <w:basedOn w:val="OpiHA"/>
    <w:next w:val="OpiPara"/>
    <w:rsid w:val="004A51F8"/>
    <w:pPr>
      <w:tabs>
        <w:tab w:val="clear" w:pos="357"/>
      </w:tabs>
      <w:spacing w:before="240" w:after="120"/>
      <w:ind w:left="635"/>
      <w:outlineLvl w:val="2"/>
    </w:pPr>
    <w:rPr>
      <w:rFonts w:ascii="Times New Roman" w:eastAsia="Times New Roman" w:hAnsi="Times New Roman" w:cs="Times New Roman"/>
      <w:i/>
      <w:szCs w:val="20"/>
      <w:lang w:val="fr-FR" w:eastAsia="fr-FR"/>
    </w:rPr>
  </w:style>
  <w:style w:type="paragraph" w:customStyle="1" w:styleId="SuCoverTitle1">
    <w:name w:val="Su_Cover_Title1"/>
    <w:basedOn w:val="NormalTimesNewRoman"/>
    <w:next w:val="SuCoverTitle2"/>
    <w:rsid w:val="004A51F8"/>
    <w:pPr>
      <w:spacing w:before="2500"/>
      <w:jc w:val="center"/>
    </w:pPr>
    <w:rPr>
      <w:sz w:val="22"/>
    </w:rPr>
  </w:style>
  <w:style w:type="paragraph" w:customStyle="1" w:styleId="SuCoverTitle2">
    <w:name w:val="Su_Cover_Title2"/>
    <w:basedOn w:val="SuCoverTitle1"/>
    <w:next w:val="Normale"/>
    <w:rsid w:val="004A51F8"/>
    <w:pPr>
      <w:spacing w:before="240"/>
    </w:pPr>
    <w:rPr>
      <w:sz w:val="18"/>
    </w:rPr>
  </w:style>
  <w:style w:type="paragraph" w:customStyle="1" w:styleId="SuPara">
    <w:name w:val="Su_Para"/>
    <w:basedOn w:val="SuKeywords"/>
    <w:rsid w:val="004A51F8"/>
    <w:pPr>
      <w:spacing w:before="0" w:after="0"/>
    </w:pPr>
    <w:rPr>
      <w:i w:val="0"/>
    </w:rPr>
  </w:style>
  <w:style w:type="paragraph" w:customStyle="1" w:styleId="SuKeywords">
    <w:name w:val="Su_Keywords"/>
    <w:basedOn w:val="SuHHead"/>
    <w:rsid w:val="004A51F8"/>
    <w:pPr>
      <w:spacing w:before="120"/>
    </w:pPr>
    <w:rPr>
      <w:b w:val="0"/>
      <w:i/>
    </w:rPr>
  </w:style>
  <w:style w:type="paragraph" w:customStyle="1" w:styleId="SuHHead">
    <w:name w:val="Su_H_Head"/>
    <w:basedOn w:val="SuSubject"/>
    <w:rsid w:val="004A51F8"/>
    <w:pPr>
      <w:spacing w:after="120"/>
    </w:pPr>
  </w:style>
  <w:style w:type="paragraph" w:customStyle="1" w:styleId="SuSubject">
    <w:name w:val="Su_Subject"/>
    <w:basedOn w:val="SuSummary"/>
    <w:rsid w:val="004A51F8"/>
    <w:pPr>
      <w:spacing w:before="360"/>
      <w:jc w:val="both"/>
    </w:pPr>
    <w:rPr>
      <w:b/>
      <w:sz w:val="22"/>
    </w:rPr>
  </w:style>
  <w:style w:type="paragraph" w:customStyle="1" w:styleId="SuSummary">
    <w:name w:val="Su_Summary"/>
    <w:basedOn w:val="NormalTimesNewRoman"/>
    <w:next w:val="SuSubject"/>
    <w:rsid w:val="004A51F8"/>
    <w:pPr>
      <w:spacing w:after="240"/>
      <w:jc w:val="center"/>
    </w:pPr>
  </w:style>
  <w:style w:type="paragraph" w:customStyle="1" w:styleId="JuAppQuestion">
    <w:name w:val="Ju_App_Question"/>
    <w:basedOn w:val="Puntoelenco"/>
    <w:rsid w:val="004A51F8"/>
    <w:pPr>
      <w:numPr>
        <w:numId w:val="18"/>
      </w:numPr>
      <w:jc w:val="left"/>
    </w:pPr>
    <w:rPr>
      <w:rFonts w:ascii="Times New Roman" w:eastAsia="Times New Roman" w:hAnsi="Times New Roman" w:cs="Times New Roman"/>
      <w:b/>
      <w:color w:val="333333"/>
      <w:szCs w:val="20"/>
      <w:lang w:val="en-GB" w:eastAsia="fr-FR"/>
    </w:rPr>
  </w:style>
  <w:style w:type="character" w:customStyle="1" w:styleId="DefaultTimesNewRoman">
    <w:name w:val="Default_TimesNewRoman"/>
    <w:basedOn w:val="Carpredefinitoparagrafo"/>
    <w:rsid w:val="004A51F8"/>
    <w:rPr>
      <w:rFonts w:ascii="Times New Roman" w:hAnsi="Times New Roman" w:cs="Times New Roman"/>
    </w:rPr>
  </w:style>
  <w:style w:type="character" w:customStyle="1" w:styleId="NormalTimesNewRomanChar">
    <w:name w:val="Normal_TimesNewRoman Char"/>
    <w:basedOn w:val="Carpredefinitoparagrafo"/>
    <w:link w:val="NormalTimesNewRoman"/>
    <w:rsid w:val="004A51F8"/>
    <w:rPr>
      <w:rFonts w:ascii="Times New Roman" w:eastAsia="Times New Roman" w:hAnsi="Times New Roman" w:cs="Times New Roman"/>
      <w:sz w:val="24"/>
      <w:szCs w:val="20"/>
      <w:lang w:val="fr-FR" w:eastAsia="fr-FR"/>
    </w:rPr>
  </w:style>
  <w:style w:type="character" w:customStyle="1" w:styleId="JuHHeadChar">
    <w:name w:val="Ju_H_Head Char"/>
    <w:basedOn w:val="NormalTimesNewRomanChar"/>
    <w:link w:val="ECHRTitle1"/>
    <w:rsid w:val="004A51F8"/>
    <w:rPr>
      <w:rFonts w:asciiTheme="majorHAnsi" w:eastAsiaTheme="minorEastAsia" w:hAnsiTheme="majorHAnsi" w:cs="Times New Roman"/>
      <w:sz w:val="28"/>
      <w:szCs w:val="20"/>
      <w:lang w:val="fr-FR" w:eastAsia="fr-FR"/>
    </w:rPr>
  </w:style>
  <w:style w:type="paragraph" w:customStyle="1" w:styleId="JuTitle">
    <w:name w:val="Ju_Title"/>
    <w:basedOn w:val="ECHRTitle1"/>
    <w:next w:val="ECHRPara"/>
    <w:link w:val="JuTitleChar"/>
    <w:rsid w:val="004A51F8"/>
    <w:pPr>
      <w:jc w:val="center"/>
    </w:pPr>
    <w:rPr>
      <w:rFonts w:ascii="Times New Roman" w:eastAsia="Times New Roman" w:hAnsi="Times New Roman" w:cs="Times New Roman"/>
      <w:b/>
      <w:caps/>
      <w:sz w:val="24"/>
      <w:szCs w:val="24"/>
      <w:u w:val="single"/>
      <w:lang w:val="fr-FR" w:eastAsia="fr-FR"/>
    </w:rPr>
  </w:style>
  <w:style w:type="character" w:customStyle="1" w:styleId="JuTitleChar">
    <w:name w:val="Ju_Title Char"/>
    <w:basedOn w:val="JuHHeadChar"/>
    <w:link w:val="JuTitle"/>
    <w:rsid w:val="004A51F8"/>
    <w:rPr>
      <w:rFonts w:ascii="Times New Roman" w:eastAsia="Times New Roman" w:hAnsi="Times New Roman" w:cs="Times New Roman"/>
      <w:b/>
      <w:caps/>
      <w:sz w:val="24"/>
      <w:szCs w:val="24"/>
      <w:u w:val="single"/>
      <w:lang w:val="fr-FR" w:eastAsia="fr-FR"/>
    </w:rPr>
  </w:style>
  <w:style w:type="character" w:customStyle="1" w:styleId="JuParaLastChar">
    <w:name w:val="Ju_Para_Last Char"/>
    <w:basedOn w:val="JuParaChar"/>
    <w:link w:val="JuParaLast"/>
    <w:rsid w:val="004A51F8"/>
    <w:rPr>
      <w:rFonts w:eastAsiaTheme="minorEastAsia"/>
      <w:sz w:val="24"/>
    </w:rPr>
  </w:style>
  <w:style w:type="paragraph" w:customStyle="1" w:styleId="s30eec3f8">
    <w:name w:val="s30eec3f8"/>
    <w:basedOn w:val="Normale"/>
    <w:rsid w:val="004A51F8"/>
    <w:pPr>
      <w:spacing w:before="100" w:beforeAutospacing="1" w:after="100" w:afterAutospacing="1"/>
      <w:jc w:val="left"/>
    </w:pPr>
    <w:rPr>
      <w:rFonts w:ascii="Times New Roman" w:eastAsia="Times New Roman" w:hAnsi="Times New Roman" w:cs="Times New Roman"/>
      <w:szCs w:val="24"/>
      <w:lang w:val="en-GB" w:eastAsia="en-GB"/>
    </w:rPr>
  </w:style>
  <w:style w:type="character" w:customStyle="1" w:styleId="s7d2086b4">
    <w:name w:val="s7d2086b4"/>
    <w:basedOn w:val="Carpredefinitoparagrafo"/>
    <w:rsid w:val="004A51F8"/>
  </w:style>
  <w:style w:type="character" w:customStyle="1" w:styleId="sfbbfee58">
    <w:name w:val="sfbbfee58"/>
    <w:basedOn w:val="Carpredefinitoparagrafo"/>
    <w:rsid w:val="00516DDD"/>
  </w:style>
  <w:style w:type="paragraph" w:customStyle="1" w:styleId="corpodeltestocitazione">
    <w:name w:val="corpodeltestocitazione"/>
    <w:basedOn w:val="Normale"/>
    <w:rsid w:val="007C7CDD"/>
    <w:rPr>
      <w:rFonts w:ascii="Times New Roman" w:eastAsia="Times New Roman" w:hAnsi="Times New Roman" w:cs="Times New Roman"/>
      <w:szCs w:val="24"/>
    </w:rPr>
  </w:style>
  <w:style w:type="character" w:customStyle="1" w:styleId="s1a844bc0">
    <w:name w:val="s1a844bc0"/>
    <w:basedOn w:val="Carpredefinitoparagrafo"/>
    <w:rsid w:val="00BA0FB9"/>
  </w:style>
  <w:style w:type="paragraph" w:styleId="Revisione">
    <w:name w:val="Revision"/>
    <w:hidden/>
    <w:uiPriority w:val="99"/>
    <w:semiHidden/>
    <w:rsid w:val="00E22BF2"/>
    <w:rPr>
      <w:rFonts w:eastAsiaTheme="minorEastAsia"/>
      <w:sz w:val="24"/>
    </w:rPr>
  </w:style>
  <w:style w:type="character" w:customStyle="1" w:styleId="sf1c7242d">
    <w:name w:val="sf1c7242d"/>
    <w:basedOn w:val="Carpredefinitoparagrafo"/>
    <w:rsid w:val="007D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55905">
      <w:bodyDiv w:val="1"/>
      <w:marLeft w:val="0"/>
      <w:marRight w:val="0"/>
      <w:marTop w:val="0"/>
      <w:marBottom w:val="0"/>
      <w:divBdr>
        <w:top w:val="none" w:sz="0" w:space="0" w:color="auto"/>
        <w:left w:val="none" w:sz="0" w:space="0" w:color="auto"/>
        <w:bottom w:val="none" w:sz="0" w:space="0" w:color="auto"/>
        <w:right w:val="none" w:sz="0" w:space="0" w:color="auto"/>
      </w:divBdr>
    </w:div>
    <w:div w:id="617102342">
      <w:bodyDiv w:val="1"/>
      <w:marLeft w:val="0"/>
      <w:marRight w:val="0"/>
      <w:marTop w:val="0"/>
      <w:marBottom w:val="0"/>
      <w:divBdr>
        <w:top w:val="none" w:sz="0" w:space="0" w:color="auto"/>
        <w:left w:val="none" w:sz="0" w:space="0" w:color="auto"/>
        <w:bottom w:val="none" w:sz="0" w:space="0" w:color="auto"/>
        <w:right w:val="none" w:sz="0" w:space="0" w:color="auto"/>
      </w:divBdr>
      <w:divsChild>
        <w:div w:id="1999797715">
          <w:marLeft w:val="0"/>
          <w:marRight w:val="0"/>
          <w:marTop w:val="0"/>
          <w:marBottom w:val="0"/>
          <w:divBdr>
            <w:top w:val="none" w:sz="0" w:space="0" w:color="auto"/>
            <w:left w:val="none" w:sz="0" w:space="0" w:color="auto"/>
            <w:bottom w:val="none" w:sz="0" w:space="0" w:color="auto"/>
            <w:right w:val="none" w:sz="0" w:space="0" w:color="auto"/>
          </w:divBdr>
          <w:divsChild>
            <w:div w:id="576521303">
              <w:marLeft w:val="0"/>
              <w:marRight w:val="0"/>
              <w:marTop w:val="0"/>
              <w:marBottom w:val="0"/>
              <w:divBdr>
                <w:top w:val="none" w:sz="0" w:space="0" w:color="auto"/>
                <w:left w:val="none" w:sz="0" w:space="0" w:color="auto"/>
                <w:bottom w:val="none" w:sz="0" w:space="0" w:color="auto"/>
                <w:right w:val="none" w:sz="0" w:space="0" w:color="auto"/>
              </w:divBdr>
              <w:divsChild>
                <w:div w:id="361168987">
                  <w:marLeft w:val="0"/>
                  <w:marRight w:val="0"/>
                  <w:marTop w:val="0"/>
                  <w:marBottom w:val="0"/>
                  <w:divBdr>
                    <w:top w:val="none" w:sz="0" w:space="0" w:color="auto"/>
                    <w:left w:val="none" w:sz="0" w:space="0" w:color="auto"/>
                    <w:bottom w:val="none" w:sz="0" w:space="0" w:color="auto"/>
                    <w:right w:val="none" w:sz="0" w:space="0" w:color="auto"/>
                  </w:divBdr>
                  <w:divsChild>
                    <w:div w:id="1100415207">
                      <w:marLeft w:val="0"/>
                      <w:marRight w:val="0"/>
                      <w:marTop w:val="0"/>
                      <w:marBottom w:val="0"/>
                      <w:divBdr>
                        <w:top w:val="none" w:sz="0" w:space="0" w:color="auto"/>
                        <w:left w:val="none" w:sz="0" w:space="0" w:color="auto"/>
                        <w:bottom w:val="none" w:sz="0" w:space="0" w:color="auto"/>
                        <w:right w:val="none" w:sz="0" w:space="0" w:color="auto"/>
                      </w:divBdr>
                      <w:divsChild>
                        <w:div w:id="538669032">
                          <w:marLeft w:val="0"/>
                          <w:marRight w:val="0"/>
                          <w:marTop w:val="0"/>
                          <w:marBottom w:val="0"/>
                          <w:divBdr>
                            <w:top w:val="none" w:sz="0" w:space="0" w:color="auto"/>
                            <w:left w:val="none" w:sz="0" w:space="0" w:color="auto"/>
                            <w:bottom w:val="none" w:sz="0" w:space="0" w:color="auto"/>
                            <w:right w:val="none" w:sz="0" w:space="0" w:color="auto"/>
                          </w:divBdr>
                          <w:divsChild>
                            <w:div w:id="169622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019899">
      <w:bodyDiv w:val="1"/>
      <w:marLeft w:val="0"/>
      <w:marRight w:val="0"/>
      <w:marTop w:val="0"/>
      <w:marBottom w:val="0"/>
      <w:divBdr>
        <w:top w:val="none" w:sz="0" w:space="0" w:color="auto"/>
        <w:left w:val="none" w:sz="0" w:space="0" w:color="auto"/>
        <w:bottom w:val="none" w:sz="0" w:space="0" w:color="auto"/>
        <w:right w:val="none" w:sz="0" w:space="0" w:color="auto"/>
      </w:divBdr>
      <w:divsChild>
        <w:div w:id="254939873">
          <w:marLeft w:val="0"/>
          <w:marRight w:val="0"/>
          <w:marTop w:val="0"/>
          <w:marBottom w:val="0"/>
          <w:divBdr>
            <w:top w:val="none" w:sz="0" w:space="0" w:color="auto"/>
            <w:left w:val="none" w:sz="0" w:space="0" w:color="auto"/>
            <w:bottom w:val="none" w:sz="0" w:space="0" w:color="auto"/>
            <w:right w:val="none" w:sz="0" w:space="0" w:color="auto"/>
          </w:divBdr>
          <w:divsChild>
            <w:div w:id="307367657">
              <w:marLeft w:val="0"/>
              <w:marRight w:val="0"/>
              <w:marTop w:val="0"/>
              <w:marBottom w:val="0"/>
              <w:divBdr>
                <w:top w:val="none" w:sz="0" w:space="0" w:color="auto"/>
                <w:left w:val="none" w:sz="0" w:space="0" w:color="auto"/>
                <w:bottom w:val="none" w:sz="0" w:space="0" w:color="auto"/>
                <w:right w:val="none" w:sz="0" w:space="0" w:color="auto"/>
              </w:divBdr>
              <w:divsChild>
                <w:div w:id="2018967792">
                  <w:marLeft w:val="0"/>
                  <w:marRight w:val="0"/>
                  <w:marTop w:val="0"/>
                  <w:marBottom w:val="0"/>
                  <w:divBdr>
                    <w:top w:val="none" w:sz="0" w:space="0" w:color="auto"/>
                    <w:left w:val="none" w:sz="0" w:space="0" w:color="auto"/>
                    <w:bottom w:val="none" w:sz="0" w:space="0" w:color="auto"/>
                    <w:right w:val="none" w:sz="0" w:space="0" w:color="auto"/>
                  </w:divBdr>
                  <w:divsChild>
                    <w:div w:id="223874499">
                      <w:marLeft w:val="0"/>
                      <w:marRight w:val="0"/>
                      <w:marTop w:val="0"/>
                      <w:marBottom w:val="0"/>
                      <w:divBdr>
                        <w:top w:val="none" w:sz="0" w:space="0" w:color="auto"/>
                        <w:left w:val="none" w:sz="0" w:space="0" w:color="auto"/>
                        <w:bottom w:val="none" w:sz="0" w:space="0" w:color="auto"/>
                        <w:right w:val="none" w:sz="0" w:space="0" w:color="auto"/>
                      </w:divBdr>
                      <w:divsChild>
                        <w:div w:id="792136775">
                          <w:marLeft w:val="0"/>
                          <w:marRight w:val="0"/>
                          <w:marTop w:val="0"/>
                          <w:marBottom w:val="0"/>
                          <w:divBdr>
                            <w:top w:val="none" w:sz="0" w:space="0" w:color="auto"/>
                            <w:left w:val="none" w:sz="0" w:space="0" w:color="auto"/>
                            <w:bottom w:val="none" w:sz="0" w:space="0" w:color="auto"/>
                            <w:right w:val="none" w:sz="0" w:space="0" w:color="auto"/>
                          </w:divBdr>
                          <w:divsChild>
                            <w:div w:id="3806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59732018">
      <w:bodyDiv w:val="1"/>
      <w:marLeft w:val="0"/>
      <w:marRight w:val="0"/>
      <w:marTop w:val="0"/>
      <w:marBottom w:val="0"/>
      <w:divBdr>
        <w:top w:val="none" w:sz="0" w:space="0" w:color="auto"/>
        <w:left w:val="none" w:sz="0" w:space="0" w:color="auto"/>
        <w:bottom w:val="none" w:sz="0" w:space="0" w:color="auto"/>
        <w:right w:val="none" w:sz="0" w:space="0" w:color="auto"/>
      </w:divBdr>
    </w:div>
    <w:div w:id="2069724329">
      <w:bodyDiv w:val="1"/>
      <w:marLeft w:val="0"/>
      <w:marRight w:val="0"/>
      <w:marTop w:val="0"/>
      <w:marBottom w:val="0"/>
      <w:divBdr>
        <w:top w:val="none" w:sz="0" w:space="0" w:color="auto"/>
        <w:left w:val="none" w:sz="0" w:space="0" w:color="auto"/>
        <w:bottom w:val="none" w:sz="0" w:space="0" w:color="auto"/>
        <w:right w:val="none" w:sz="0" w:space="0" w:color="auto"/>
      </w:divBdr>
    </w:div>
    <w:div w:id="2131169632">
      <w:bodyDiv w:val="1"/>
      <w:marLeft w:val="0"/>
      <w:marRight w:val="0"/>
      <w:marTop w:val="0"/>
      <w:marBottom w:val="0"/>
      <w:divBdr>
        <w:top w:val="none" w:sz="0" w:space="0" w:color="auto"/>
        <w:left w:val="none" w:sz="0" w:space="0" w:color="auto"/>
        <w:bottom w:val="none" w:sz="0" w:space="0" w:color="auto"/>
        <w:right w:val="none" w:sz="0" w:space="0" w:color="auto"/>
      </w:divBdr>
      <w:divsChild>
        <w:div w:id="66347885">
          <w:marLeft w:val="0"/>
          <w:marRight w:val="0"/>
          <w:marTop w:val="0"/>
          <w:marBottom w:val="0"/>
          <w:divBdr>
            <w:top w:val="none" w:sz="0" w:space="0" w:color="auto"/>
            <w:left w:val="none" w:sz="0" w:space="0" w:color="auto"/>
            <w:bottom w:val="none" w:sz="0" w:space="0" w:color="auto"/>
            <w:right w:val="none" w:sz="0" w:space="0" w:color="auto"/>
          </w:divBdr>
          <w:divsChild>
            <w:div w:id="1564414507">
              <w:marLeft w:val="0"/>
              <w:marRight w:val="0"/>
              <w:marTop w:val="0"/>
              <w:marBottom w:val="0"/>
              <w:divBdr>
                <w:top w:val="none" w:sz="0" w:space="0" w:color="auto"/>
                <w:left w:val="none" w:sz="0" w:space="0" w:color="auto"/>
                <w:bottom w:val="none" w:sz="0" w:space="0" w:color="auto"/>
                <w:right w:val="none" w:sz="0" w:space="0" w:color="auto"/>
              </w:divBdr>
              <w:divsChild>
                <w:div w:id="1405758916">
                  <w:marLeft w:val="0"/>
                  <w:marRight w:val="0"/>
                  <w:marTop w:val="0"/>
                  <w:marBottom w:val="0"/>
                  <w:divBdr>
                    <w:top w:val="none" w:sz="0" w:space="0" w:color="auto"/>
                    <w:left w:val="none" w:sz="0" w:space="0" w:color="auto"/>
                    <w:bottom w:val="none" w:sz="0" w:space="0" w:color="auto"/>
                    <w:right w:val="none" w:sz="0" w:space="0" w:color="auto"/>
                  </w:divBdr>
                  <w:divsChild>
                    <w:div w:id="1952588581">
                      <w:marLeft w:val="0"/>
                      <w:marRight w:val="0"/>
                      <w:marTop w:val="0"/>
                      <w:marBottom w:val="0"/>
                      <w:divBdr>
                        <w:top w:val="none" w:sz="0" w:space="0" w:color="auto"/>
                        <w:left w:val="none" w:sz="0" w:space="0" w:color="auto"/>
                        <w:bottom w:val="none" w:sz="0" w:space="0" w:color="auto"/>
                        <w:right w:val="none" w:sz="0" w:space="0" w:color="auto"/>
                      </w:divBdr>
                      <w:divsChild>
                        <w:div w:id="1539706594">
                          <w:marLeft w:val="0"/>
                          <w:marRight w:val="0"/>
                          <w:marTop w:val="0"/>
                          <w:marBottom w:val="0"/>
                          <w:divBdr>
                            <w:top w:val="none" w:sz="0" w:space="0" w:color="auto"/>
                            <w:left w:val="none" w:sz="0" w:space="0" w:color="auto"/>
                            <w:bottom w:val="none" w:sz="0" w:space="0" w:color="auto"/>
                            <w:right w:val="none" w:sz="0" w:space="0" w:color="auto"/>
                          </w:divBdr>
                          <w:divsChild>
                            <w:div w:id="18058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EA82C-1A6D-4BCC-A783-7A648354B1C4}">
  <ds:schemaRefs>
    <ds:schemaRef ds:uri="http://schemas.microsoft.com/office/2006/metadata/properties"/>
    <ds:schemaRef ds:uri="http://www.w3.org/XML/1998/namespace"/>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046977BC-F965-4BA1-B7F0-9E383DAFE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CA92F-9A86-460C-A35D-A10E07D81B65}">
  <ds:schemaRefs>
    <ds:schemaRef ds:uri="http://schemas.microsoft.com/sharepoint/v3/contenttype/forms"/>
  </ds:schemaRefs>
</ds:datastoreItem>
</file>

<file path=customXml/itemProps4.xml><?xml version="1.0" encoding="utf-8"?>
<ds:datastoreItem xmlns:ds="http://schemas.openxmlformats.org/officeDocument/2006/customXml" ds:itemID="{BE37AFAC-6BE1-4C35-AE9F-65EBCC50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27678</Words>
  <Characters>157769</Characters>
  <Application>Microsoft Office Word</Application>
  <DocSecurity>4</DocSecurity>
  <Lines>1314</Lines>
  <Paragraphs>370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185077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2015-04-17T10:00:00Z</dcterms:created>
  <dcterms:modified xsi:type="dcterms:W3CDTF">2015-04-17T10:00:00Z</dcterms:modified>
  <cp:category>ECHR Template</cp:category>
</cp:coreProperties>
</file>